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17C6" w14:textId="41A5CD76" w:rsidR="008D2A75" w:rsidRDefault="008D2A75" w:rsidP="008D2A75">
      <w:pPr>
        <w:pStyle w:val="Heading1"/>
        <w:numPr>
          <w:ilvl w:val="0"/>
          <w:numId w:val="0"/>
        </w:numPr>
        <w:spacing w:line="240" w:lineRule="auto"/>
        <w:jc w:val="center"/>
        <w:rPr>
          <w:rFonts w:asciiTheme="minorHAnsi" w:eastAsia="Calibri" w:hAnsiTheme="minorHAnsi" w:cstheme="minorHAnsi"/>
          <w:b/>
          <w:sz w:val="36"/>
          <w:lang w:val="en-GB"/>
        </w:rPr>
      </w:pPr>
      <w:r>
        <w:rPr>
          <w:rFonts w:asciiTheme="minorHAnsi" w:eastAsia="Calibri" w:hAnsiTheme="minorHAnsi" w:cstheme="minorHAnsi"/>
          <w:b/>
          <w:sz w:val="36"/>
          <w:lang w:val="en-GB"/>
        </w:rPr>
        <w:t xml:space="preserve">   </w:t>
      </w:r>
    </w:p>
    <w:p w14:paraId="1FB2E3BB" w14:textId="10C7F605" w:rsidR="008D2A75" w:rsidRDefault="008D2A75" w:rsidP="008D2A75">
      <w:pPr>
        <w:pStyle w:val="Heading1"/>
        <w:numPr>
          <w:ilvl w:val="0"/>
          <w:numId w:val="0"/>
        </w:numPr>
        <w:spacing w:line="240" w:lineRule="auto"/>
        <w:jc w:val="center"/>
        <w:rPr>
          <w:rFonts w:asciiTheme="minorHAnsi" w:eastAsia="Calibri" w:hAnsiTheme="minorHAnsi" w:cstheme="minorHAnsi"/>
          <w:b/>
          <w:sz w:val="36"/>
          <w:lang w:val="en-GB"/>
        </w:rPr>
      </w:pPr>
      <w:r>
        <w:rPr>
          <w:rFonts w:asciiTheme="minorHAnsi" w:eastAsia="Calibri" w:hAnsiTheme="minorHAnsi" w:cstheme="minorHAnsi"/>
          <w:b/>
          <w:noProof/>
          <w:sz w:val="36"/>
        </w:rPr>
        <w:drawing>
          <wp:anchor distT="0" distB="0" distL="114300" distR="114300" simplePos="0" relativeHeight="251659264" behindDoc="0" locked="0" layoutInCell="1" allowOverlap="1" wp14:anchorId="74C7B95F" wp14:editId="08B95E3E">
            <wp:simplePos x="0" y="0"/>
            <wp:positionH relativeFrom="column">
              <wp:posOffset>-184150</wp:posOffset>
            </wp:positionH>
            <wp:positionV relativeFrom="paragraph">
              <wp:posOffset>412750</wp:posOffset>
            </wp:positionV>
            <wp:extent cx="592666" cy="592666"/>
            <wp:effectExtent l="0" t="0" r="0" b="0"/>
            <wp:wrapNone/>
            <wp:docPr id="335"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6" cy="592666"/>
                    </a:xfrm>
                    <a:prstGeom prst="rect">
                      <a:avLst/>
                    </a:prstGeom>
                  </pic:spPr>
                </pic:pic>
              </a:graphicData>
            </a:graphic>
          </wp:anchor>
        </w:drawing>
      </w:r>
    </w:p>
    <w:p w14:paraId="6D4AC36B" w14:textId="36AE6E77" w:rsidR="008D2A75" w:rsidRPr="00D54DC9" w:rsidRDefault="008D2A75" w:rsidP="008D2A75">
      <w:pPr>
        <w:pStyle w:val="Heading1"/>
        <w:numPr>
          <w:ilvl w:val="0"/>
          <w:numId w:val="0"/>
        </w:numPr>
        <w:spacing w:line="240" w:lineRule="auto"/>
        <w:jc w:val="center"/>
        <w:rPr>
          <w:rFonts w:asciiTheme="minorHAnsi" w:eastAsia="Calibri" w:hAnsiTheme="minorHAnsi" w:cstheme="minorHAnsi"/>
          <w:b/>
          <w:sz w:val="36"/>
          <w:lang w:val="en-GB"/>
        </w:rPr>
      </w:pPr>
      <w:r>
        <w:rPr>
          <w:rFonts w:asciiTheme="minorHAnsi" w:eastAsia="Calibri" w:hAnsiTheme="minorHAnsi" w:cstheme="minorHAnsi"/>
          <w:b/>
          <w:sz w:val="36"/>
          <w:lang w:val="en-GB"/>
        </w:rPr>
        <w:t xml:space="preserve">6. </w:t>
      </w:r>
      <w:bookmarkStart w:id="0" w:name="_GoBack"/>
      <w:r>
        <w:rPr>
          <w:rFonts w:asciiTheme="minorHAnsi" w:eastAsia="Calibri" w:hAnsiTheme="minorHAnsi" w:cstheme="minorHAnsi"/>
          <w:b/>
          <w:sz w:val="36"/>
          <w:lang w:val="en-GB"/>
        </w:rPr>
        <w:t>Implementing Entity</w:t>
      </w:r>
      <w:r w:rsidRPr="00D10D46">
        <w:rPr>
          <w:rFonts w:asciiTheme="minorHAnsi" w:hAnsiTheme="minorHAnsi" w:cstheme="minorHAnsi"/>
          <w:b/>
          <w:sz w:val="36"/>
        </w:rPr>
        <w:t xml:space="preserve"> </w:t>
      </w:r>
      <w:r>
        <w:rPr>
          <w:rFonts w:asciiTheme="minorHAnsi" w:hAnsiTheme="minorHAnsi" w:cstheme="minorHAnsi"/>
          <w:b/>
          <w:sz w:val="36"/>
        </w:rPr>
        <w:t xml:space="preserve">– </w:t>
      </w:r>
      <w:r w:rsidRPr="00D10D46">
        <w:rPr>
          <w:rFonts w:asciiTheme="minorHAnsi" w:hAnsiTheme="minorHAnsi" w:cstheme="minorHAnsi"/>
          <w:b/>
          <w:sz w:val="36"/>
        </w:rPr>
        <w:t>Tip Sheet on Getting Started</w:t>
      </w:r>
      <w:bookmarkEnd w:id="0"/>
    </w:p>
    <w:p w14:paraId="6837D189" w14:textId="77777777" w:rsidR="008D2A75" w:rsidRDefault="008D2A75" w:rsidP="008D2A75"/>
    <w:p w14:paraId="406E63BD" w14:textId="77777777" w:rsidR="008D2A75" w:rsidRDefault="008D2A75" w:rsidP="008D2A75"/>
    <w:p w14:paraId="65F523DF" w14:textId="77777777" w:rsidR="008D2A75" w:rsidRPr="00C328FD" w:rsidRDefault="008D2A75" w:rsidP="008D2A75">
      <w:pPr>
        <w:rPr>
          <w:b/>
          <w:i/>
          <w:color w:val="1F3864" w:themeColor="accent1" w:themeShade="80"/>
        </w:rPr>
      </w:pPr>
      <w:r w:rsidRPr="00C328FD">
        <w:rPr>
          <w:b/>
          <w:i/>
          <w:color w:val="1F3864" w:themeColor="accent1" w:themeShade="80"/>
        </w:rPr>
        <w:t>Prior to first NLG Meeting - Onboarding</w:t>
      </w:r>
    </w:p>
    <w:p w14:paraId="086E1687" w14:textId="77777777" w:rsidR="008D2A75" w:rsidRPr="00C328FD" w:rsidRDefault="008D2A75" w:rsidP="008D2A75">
      <w:pPr>
        <w:pStyle w:val="ListParagraph"/>
        <w:numPr>
          <w:ilvl w:val="0"/>
          <w:numId w:val="16"/>
        </w:numPr>
        <w:rPr>
          <w:color w:val="1F3864" w:themeColor="accent1" w:themeShade="80"/>
        </w:rPr>
      </w:pPr>
      <w:r>
        <w:rPr>
          <w:color w:val="1F3864" w:themeColor="accent1" w:themeShade="80"/>
        </w:rPr>
        <w:t>Hold m</w:t>
      </w:r>
      <w:r w:rsidRPr="00C328FD">
        <w:rPr>
          <w:color w:val="1F3864" w:themeColor="accent1" w:themeShade="80"/>
        </w:rPr>
        <w:t>eetings with funding partner and organizing entity, discuss parameters of study and composition of mapping team</w:t>
      </w:r>
    </w:p>
    <w:p w14:paraId="0262FDD5" w14:textId="77777777" w:rsidR="008D2A75" w:rsidRPr="00C328FD" w:rsidRDefault="008D2A75" w:rsidP="008D2A75">
      <w:pPr>
        <w:pStyle w:val="ListParagraph"/>
        <w:numPr>
          <w:ilvl w:val="0"/>
          <w:numId w:val="16"/>
        </w:numPr>
        <w:rPr>
          <w:color w:val="1F3864" w:themeColor="accent1" w:themeShade="80"/>
        </w:rPr>
      </w:pPr>
      <w:r w:rsidRPr="00C328FD">
        <w:rPr>
          <w:color w:val="1F3864" w:themeColor="accent1" w:themeShade="80"/>
        </w:rPr>
        <w:t>Identify and hire (if needed) staff or consultants to be in roles as team lead and data gatherers</w:t>
      </w:r>
    </w:p>
    <w:p w14:paraId="2AB07E1E" w14:textId="77777777" w:rsidR="008D2A75" w:rsidRPr="00C328FD" w:rsidRDefault="008D2A75" w:rsidP="008D2A75">
      <w:pPr>
        <w:rPr>
          <w:b/>
          <w:i/>
          <w:color w:val="1F3864" w:themeColor="accent1" w:themeShade="80"/>
        </w:rPr>
      </w:pPr>
      <w:r w:rsidRPr="00C328FD">
        <w:rPr>
          <w:b/>
          <w:i/>
          <w:color w:val="1F3864" w:themeColor="accent1" w:themeShade="80"/>
        </w:rPr>
        <w:t>Prior to first NLG Meeting – Meeting Planning</w:t>
      </w:r>
    </w:p>
    <w:p w14:paraId="4FE2FF0B" w14:textId="77777777" w:rsidR="008D2A75" w:rsidRPr="00C328FD" w:rsidRDefault="008D2A75" w:rsidP="008D2A75">
      <w:pPr>
        <w:pStyle w:val="ListParagraph"/>
        <w:numPr>
          <w:ilvl w:val="0"/>
          <w:numId w:val="16"/>
        </w:numPr>
        <w:rPr>
          <w:color w:val="1F3864" w:themeColor="accent1" w:themeShade="80"/>
        </w:rPr>
      </w:pPr>
      <w:r w:rsidRPr="00C328FD">
        <w:rPr>
          <w:color w:val="1F3864" w:themeColor="accent1" w:themeShade="80"/>
        </w:rPr>
        <w:t xml:space="preserve">Agree on roles and responsibilities for first NLG meeting, including who will invite NLG members and who will organize first meeting logistics </w:t>
      </w:r>
    </w:p>
    <w:p w14:paraId="525F380A" w14:textId="77777777" w:rsidR="008D2A75" w:rsidRPr="00C328FD" w:rsidRDefault="008D2A75" w:rsidP="008D2A75">
      <w:pPr>
        <w:pStyle w:val="ListParagraph"/>
        <w:numPr>
          <w:ilvl w:val="0"/>
          <w:numId w:val="16"/>
        </w:numPr>
        <w:rPr>
          <w:color w:val="1F3864" w:themeColor="accent1" w:themeShade="80"/>
        </w:rPr>
      </w:pPr>
      <w:r w:rsidRPr="00C328FD">
        <w:rPr>
          <w:color w:val="1F3864" w:themeColor="accent1" w:themeShade="80"/>
        </w:rPr>
        <w:t>Prepare meeting agenda and identify presenter and facilitator roles</w:t>
      </w:r>
    </w:p>
    <w:p w14:paraId="29F5B8D1" w14:textId="77777777" w:rsidR="008D2A75" w:rsidRPr="00C328FD" w:rsidRDefault="008D2A75" w:rsidP="008D2A75">
      <w:pPr>
        <w:pStyle w:val="ListParagraph"/>
        <w:numPr>
          <w:ilvl w:val="0"/>
          <w:numId w:val="16"/>
        </w:numPr>
        <w:rPr>
          <w:color w:val="1F3864" w:themeColor="accent1" w:themeShade="80"/>
        </w:rPr>
      </w:pPr>
      <w:r w:rsidRPr="00C328FD">
        <w:rPr>
          <w:color w:val="1F3864" w:themeColor="accent1" w:themeShade="80"/>
        </w:rPr>
        <w:t>Review and make any initial adaptations to data gathering tools to present for discussion at first meeting; print copies of sample surveys</w:t>
      </w:r>
    </w:p>
    <w:p w14:paraId="52BFF3F4" w14:textId="77777777" w:rsidR="008D2A75" w:rsidRPr="00C328FD" w:rsidRDefault="008D2A75" w:rsidP="008D2A75">
      <w:pPr>
        <w:pStyle w:val="ListParagraph"/>
        <w:numPr>
          <w:ilvl w:val="0"/>
          <w:numId w:val="16"/>
        </w:numPr>
        <w:rPr>
          <w:color w:val="1F3864" w:themeColor="accent1" w:themeShade="80"/>
        </w:rPr>
      </w:pPr>
      <w:r w:rsidRPr="00C328FD">
        <w:rPr>
          <w:color w:val="1F3864" w:themeColor="accent1" w:themeShade="80"/>
        </w:rPr>
        <w:t>Prepare overview presentation of global definition and suggested mapping methodology</w:t>
      </w:r>
    </w:p>
    <w:p w14:paraId="28FEC32A" w14:textId="77777777" w:rsidR="008D2A75" w:rsidRDefault="008D2A75" w:rsidP="008D2A75">
      <w:pPr>
        <w:pStyle w:val="ListParagraph"/>
        <w:numPr>
          <w:ilvl w:val="0"/>
          <w:numId w:val="16"/>
        </w:numPr>
        <w:rPr>
          <w:color w:val="1F3864" w:themeColor="accent1" w:themeShade="80"/>
        </w:rPr>
      </w:pPr>
      <w:r w:rsidRPr="00C328FD">
        <w:rPr>
          <w:color w:val="1F3864" w:themeColor="accent1" w:themeShade="80"/>
        </w:rPr>
        <w:t xml:space="preserve">Prepare draft of the NLG Terms of Reference, filling in relevant information into the sample as needed, </w:t>
      </w:r>
      <w:proofErr w:type="gramStart"/>
      <w:r w:rsidRPr="00C328FD">
        <w:rPr>
          <w:color w:val="1F3864" w:themeColor="accent1" w:themeShade="80"/>
        </w:rPr>
        <w:t>in order for</w:t>
      </w:r>
      <w:proofErr w:type="gramEnd"/>
      <w:r w:rsidRPr="00C328FD">
        <w:rPr>
          <w:color w:val="1F3864" w:themeColor="accent1" w:themeShade="80"/>
        </w:rPr>
        <w:t xml:space="preserve"> the NLG to review and refine at the meeting</w:t>
      </w:r>
    </w:p>
    <w:p w14:paraId="5091EED5" w14:textId="77777777" w:rsidR="008D2A75" w:rsidRPr="00C328FD" w:rsidRDefault="008D2A75" w:rsidP="008D2A75">
      <w:pPr>
        <w:pStyle w:val="ListParagraph"/>
        <w:numPr>
          <w:ilvl w:val="0"/>
          <w:numId w:val="16"/>
        </w:numPr>
        <w:rPr>
          <w:color w:val="1F3864" w:themeColor="accent1" w:themeShade="80"/>
        </w:rPr>
      </w:pPr>
      <w:r>
        <w:rPr>
          <w:color w:val="1F3864" w:themeColor="accent1" w:themeShade="80"/>
        </w:rPr>
        <w:t>Prepare group facilitated exercise to discuss the workforce definition</w:t>
      </w:r>
    </w:p>
    <w:p w14:paraId="098453A6" w14:textId="77777777" w:rsidR="008D2A75" w:rsidRPr="00C328FD" w:rsidRDefault="008D2A75" w:rsidP="008D2A75">
      <w:pPr>
        <w:rPr>
          <w:b/>
          <w:i/>
          <w:color w:val="1F3864" w:themeColor="accent1" w:themeShade="80"/>
        </w:rPr>
      </w:pPr>
      <w:r w:rsidRPr="00C328FD">
        <w:rPr>
          <w:b/>
          <w:i/>
          <w:color w:val="1F3864" w:themeColor="accent1" w:themeShade="80"/>
        </w:rPr>
        <w:t>After first NLG meeting</w:t>
      </w:r>
    </w:p>
    <w:p w14:paraId="3489BADB" w14:textId="77777777" w:rsidR="008D2A75" w:rsidRDefault="008D2A75" w:rsidP="008D2A75">
      <w:pPr>
        <w:pStyle w:val="ListParagraph"/>
        <w:numPr>
          <w:ilvl w:val="0"/>
          <w:numId w:val="16"/>
        </w:numPr>
        <w:rPr>
          <w:color w:val="1F3864" w:themeColor="accent1" w:themeShade="80"/>
        </w:rPr>
      </w:pPr>
      <w:r>
        <w:rPr>
          <w:color w:val="1F3864" w:themeColor="accent1" w:themeShade="80"/>
        </w:rPr>
        <w:t xml:space="preserve">Support preparation and dissemination of meeting notes to NLG members, including the agreed to definition of the workforce for any further comment </w:t>
      </w:r>
    </w:p>
    <w:p w14:paraId="22D23C33" w14:textId="77777777" w:rsidR="008D2A75" w:rsidRPr="00C328FD" w:rsidRDefault="008D2A75" w:rsidP="008D2A75">
      <w:pPr>
        <w:pStyle w:val="ListParagraph"/>
        <w:numPr>
          <w:ilvl w:val="0"/>
          <w:numId w:val="16"/>
        </w:numPr>
        <w:rPr>
          <w:color w:val="1F3864" w:themeColor="accent1" w:themeShade="80"/>
        </w:rPr>
      </w:pPr>
      <w:r w:rsidRPr="00C328FD">
        <w:rPr>
          <w:color w:val="1F3864" w:themeColor="accent1" w:themeShade="80"/>
        </w:rPr>
        <w:t xml:space="preserve">Prepare initial literature review prior to </w:t>
      </w:r>
      <w:r>
        <w:rPr>
          <w:color w:val="1F3864" w:themeColor="accent1" w:themeShade="80"/>
        </w:rPr>
        <w:t>next</w:t>
      </w:r>
      <w:r w:rsidRPr="00C328FD">
        <w:rPr>
          <w:color w:val="1F3864" w:themeColor="accent1" w:themeShade="80"/>
        </w:rPr>
        <w:t xml:space="preserve"> NLG meeting (with additional literature contributed by NLG members)</w:t>
      </w:r>
    </w:p>
    <w:p w14:paraId="783166B6" w14:textId="15EE2D41" w:rsidR="00660799" w:rsidRPr="008D2A75" w:rsidRDefault="00660799" w:rsidP="008D2A75"/>
    <w:sectPr w:rsidR="00660799" w:rsidRPr="008D2A75"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ED0B" w14:textId="77777777" w:rsidR="00D16794" w:rsidRDefault="00D16794" w:rsidP="007C1CF4">
      <w:pPr>
        <w:spacing w:after="0" w:line="240" w:lineRule="auto"/>
      </w:pPr>
      <w:r>
        <w:separator/>
      </w:r>
    </w:p>
  </w:endnote>
  <w:endnote w:type="continuationSeparator" w:id="0">
    <w:p w14:paraId="1FBAF346" w14:textId="77777777" w:rsidR="00D16794" w:rsidRDefault="00D16794"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07E3" w14:textId="77777777" w:rsidR="00D16794" w:rsidRDefault="00D16794" w:rsidP="007C1CF4">
      <w:pPr>
        <w:spacing w:after="0" w:line="240" w:lineRule="auto"/>
      </w:pPr>
      <w:r>
        <w:separator/>
      </w:r>
    </w:p>
  </w:footnote>
  <w:footnote w:type="continuationSeparator" w:id="0">
    <w:p w14:paraId="7B3DA417" w14:textId="77777777" w:rsidR="00D16794" w:rsidRDefault="00D16794"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E5C26"/>
    <w:multiLevelType w:val="hybridMultilevel"/>
    <w:tmpl w:val="E0D04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BC01412"/>
    <w:multiLevelType w:val="hybridMultilevel"/>
    <w:tmpl w:val="AC2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19A22D8">
      <w:numFmt w:val="bullet"/>
      <w:lvlText w:val="•"/>
      <w:lvlJc w:val="left"/>
      <w:pPr>
        <w:ind w:left="1800" w:hanging="360"/>
      </w:pPr>
      <w:rPr>
        <w:rFonts w:ascii="Calibri" w:eastAsiaTheme="minorHAnsi" w:hAnsi="Calibri" w:cs="Univers 45 Light"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201AC"/>
    <w:multiLevelType w:val="hybridMultilevel"/>
    <w:tmpl w:val="86B0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00818"/>
    <w:multiLevelType w:val="hybridMultilevel"/>
    <w:tmpl w:val="9EE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111F0"/>
    <w:multiLevelType w:val="hybridMultilevel"/>
    <w:tmpl w:val="A89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623A1"/>
    <w:multiLevelType w:val="hybridMultilevel"/>
    <w:tmpl w:val="36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7D6697"/>
    <w:multiLevelType w:val="hybridMultilevel"/>
    <w:tmpl w:val="036EEC48"/>
    <w:lvl w:ilvl="0" w:tplc="6AC6BC5A">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216DAF"/>
    <w:multiLevelType w:val="hybridMultilevel"/>
    <w:tmpl w:val="C38453C6"/>
    <w:lvl w:ilvl="0" w:tplc="6CE4E786">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80A84"/>
    <w:multiLevelType w:val="hybridMultilevel"/>
    <w:tmpl w:val="384E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0"/>
  </w:num>
  <w:num w:numId="5">
    <w:abstractNumId w:val="2"/>
  </w:num>
  <w:num w:numId="6">
    <w:abstractNumId w:val="14"/>
  </w:num>
  <w:num w:numId="7">
    <w:abstractNumId w:val="9"/>
  </w:num>
  <w:num w:numId="8">
    <w:abstractNumId w:val="5"/>
  </w:num>
  <w:num w:numId="9">
    <w:abstractNumId w:val="13"/>
  </w:num>
  <w:num w:numId="10">
    <w:abstractNumId w:val="6"/>
  </w:num>
  <w:num w:numId="11">
    <w:abstractNumId w:val="8"/>
  </w:num>
  <w:num w:numId="12">
    <w:abstractNumId w:val="4"/>
  </w:num>
  <w:num w:numId="13">
    <w:abstractNumId w:val="7"/>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5A7B38"/>
    <w:rsid w:val="00654EBC"/>
    <w:rsid w:val="00660799"/>
    <w:rsid w:val="007C1CF4"/>
    <w:rsid w:val="008D2A75"/>
    <w:rsid w:val="009E4C91"/>
    <w:rsid w:val="00A03639"/>
    <w:rsid w:val="00D1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75"/>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 w:type="paragraph" w:styleId="NoSpacing">
    <w:name w:val="No Spacing"/>
    <w:uiPriority w:val="1"/>
    <w:qFormat/>
    <w:rsid w:val="005A7B3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7B3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intverysmall1">
    <w:name w:val="printverysmall1"/>
    <w:rsid w:val="005A7B38"/>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2019-04-17T20:42:00Z</dcterms:created>
  <dcterms:modified xsi:type="dcterms:W3CDTF">2019-04-17T20:42:00Z</dcterms:modified>
</cp:coreProperties>
</file>