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402C" w14:textId="77777777" w:rsidR="0017091E" w:rsidRDefault="0017091E" w:rsidP="007C1CF4">
      <w:pPr>
        <w:pStyle w:val="Heading1"/>
        <w:numPr>
          <w:ilvl w:val="0"/>
          <w:numId w:val="0"/>
        </w:numPr>
        <w:spacing w:before="0" w:line="240" w:lineRule="auto"/>
        <w:jc w:val="center"/>
        <w:rPr>
          <w:rFonts w:asciiTheme="minorHAnsi" w:hAnsiTheme="minorHAnsi" w:cstheme="minorHAnsi"/>
          <w:b/>
          <w:sz w:val="36"/>
        </w:rPr>
      </w:pPr>
      <w:bookmarkStart w:id="0" w:name="_Toc6408873"/>
    </w:p>
    <w:p w14:paraId="45C2950D" w14:textId="77777777" w:rsidR="0017091E" w:rsidRDefault="0017091E" w:rsidP="007C1CF4">
      <w:pPr>
        <w:pStyle w:val="Heading1"/>
        <w:numPr>
          <w:ilvl w:val="0"/>
          <w:numId w:val="0"/>
        </w:numPr>
        <w:spacing w:before="0" w:line="240" w:lineRule="auto"/>
        <w:jc w:val="center"/>
        <w:rPr>
          <w:rFonts w:asciiTheme="minorHAnsi" w:hAnsiTheme="minorHAnsi" w:cstheme="minorHAnsi"/>
          <w:b/>
          <w:sz w:val="36"/>
        </w:rPr>
      </w:pPr>
    </w:p>
    <w:p w14:paraId="3C5C3B27" w14:textId="77DBC933" w:rsidR="007C1CF4" w:rsidRDefault="007C1CF4" w:rsidP="007C1CF4">
      <w:pPr>
        <w:pStyle w:val="Heading1"/>
        <w:numPr>
          <w:ilvl w:val="0"/>
          <w:numId w:val="0"/>
        </w:numPr>
        <w:spacing w:before="0" w:line="240" w:lineRule="auto"/>
        <w:jc w:val="center"/>
        <w:rPr>
          <w:rFonts w:asciiTheme="minorHAnsi" w:hAnsiTheme="minorHAnsi" w:cstheme="minorHAnsi"/>
          <w:b/>
          <w:sz w:val="36"/>
          <w:szCs w:val="36"/>
        </w:rPr>
      </w:pPr>
      <w:bookmarkStart w:id="1" w:name="_GoBack"/>
      <w:bookmarkEnd w:id="1"/>
      <w:r>
        <w:rPr>
          <w:rFonts w:asciiTheme="minorHAnsi" w:hAnsiTheme="minorHAnsi" w:cstheme="minorHAnsi"/>
          <w:b/>
          <w:noProof/>
          <w:sz w:val="36"/>
        </w:rPr>
        <w:drawing>
          <wp:anchor distT="0" distB="0" distL="114300" distR="114300" simplePos="0" relativeHeight="251659264" behindDoc="0" locked="0" layoutInCell="1" allowOverlap="1" wp14:anchorId="4E6ADA7F" wp14:editId="744D28BA">
            <wp:simplePos x="0" y="0"/>
            <wp:positionH relativeFrom="column">
              <wp:posOffset>688340</wp:posOffset>
            </wp:positionH>
            <wp:positionV relativeFrom="paragraph">
              <wp:posOffset>52070</wp:posOffset>
            </wp:positionV>
            <wp:extent cx="592667" cy="592667"/>
            <wp:effectExtent l="0" t="0" r="0" b="0"/>
            <wp:wrapNone/>
            <wp:docPr id="29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667" cy="592667"/>
                    </a:xfrm>
                    <a:prstGeom prst="rect">
                      <a:avLst/>
                    </a:prstGeom>
                  </pic:spPr>
                </pic:pic>
              </a:graphicData>
            </a:graphic>
          </wp:anchor>
        </w:drawing>
      </w:r>
      <w:r>
        <w:rPr>
          <w:rFonts w:asciiTheme="minorHAnsi" w:hAnsiTheme="minorHAnsi" w:cstheme="minorHAnsi"/>
          <w:b/>
          <w:sz w:val="36"/>
        </w:rPr>
        <w:t>1.</w:t>
      </w:r>
      <w:bookmarkStart w:id="2" w:name="_Toc958478"/>
      <w:bookmarkStart w:id="3" w:name="_Toc3900617"/>
      <w:r>
        <w:rPr>
          <w:rFonts w:asciiTheme="minorHAnsi" w:hAnsiTheme="minorHAnsi" w:cstheme="minorHAnsi"/>
          <w:b/>
          <w:sz w:val="36"/>
        </w:rPr>
        <w:t xml:space="preserve"> </w:t>
      </w:r>
      <w:bookmarkEnd w:id="2"/>
      <w:bookmarkEnd w:id="3"/>
      <w:r w:rsidRPr="00C02C86">
        <w:rPr>
          <w:rFonts w:asciiTheme="minorHAnsi" w:hAnsiTheme="minorHAnsi" w:cstheme="minorHAnsi"/>
          <w:b/>
          <w:sz w:val="36"/>
        </w:rPr>
        <w:t>Sample Terms of Reference</w:t>
      </w:r>
      <w:r w:rsidRPr="00845521">
        <w:rPr>
          <w:rFonts w:asciiTheme="minorHAnsi" w:hAnsiTheme="minorHAnsi" w:cstheme="minorHAnsi"/>
          <w:b/>
          <w:sz w:val="36"/>
          <w:szCs w:val="36"/>
        </w:rPr>
        <w:t xml:space="preserve"> </w:t>
      </w:r>
      <w:r>
        <w:rPr>
          <w:rFonts w:asciiTheme="minorHAnsi" w:hAnsiTheme="minorHAnsi" w:cstheme="minorHAnsi"/>
          <w:b/>
          <w:sz w:val="36"/>
          <w:szCs w:val="36"/>
        </w:rPr>
        <w:t>-</w:t>
      </w:r>
      <w:bookmarkEnd w:id="0"/>
    </w:p>
    <w:p w14:paraId="39560AC1" w14:textId="77777777" w:rsidR="007C1CF4" w:rsidRPr="00C02C86" w:rsidRDefault="007C1CF4" w:rsidP="007C1CF4">
      <w:pPr>
        <w:pStyle w:val="Heading1"/>
        <w:numPr>
          <w:ilvl w:val="0"/>
          <w:numId w:val="0"/>
        </w:numPr>
        <w:spacing w:before="0" w:line="240" w:lineRule="auto"/>
        <w:jc w:val="center"/>
        <w:rPr>
          <w:rFonts w:asciiTheme="minorHAnsi" w:hAnsiTheme="minorHAnsi" w:cstheme="minorHAnsi"/>
          <w:b/>
          <w:sz w:val="36"/>
        </w:rPr>
      </w:pPr>
      <w:bookmarkStart w:id="4" w:name="_Toc6408874"/>
      <w:r w:rsidRPr="00845521">
        <w:rPr>
          <w:rFonts w:asciiTheme="minorHAnsi" w:hAnsiTheme="minorHAnsi" w:cstheme="minorHAnsi"/>
          <w:b/>
          <w:sz w:val="36"/>
          <w:szCs w:val="36"/>
        </w:rPr>
        <w:t>National Leadership Group</w:t>
      </w:r>
      <w:bookmarkEnd w:id="4"/>
    </w:p>
    <w:p w14:paraId="34E761CF" w14:textId="77777777" w:rsidR="007C1CF4" w:rsidRPr="00C02C86" w:rsidRDefault="007C1CF4" w:rsidP="007C1CF4">
      <w:pPr>
        <w:pStyle w:val="Heading1"/>
        <w:numPr>
          <w:ilvl w:val="0"/>
          <w:numId w:val="0"/>
        </w:numPr>
        <w:spacing w:before="0" w:after="240" w:line="240" w:lineRule="auto"/>
        <w:jc w:val="center"/>
        <w:rPr>
          <w:rFonts w:asciiTheme="minorHAnsi" w:hAnsiTheme="minorHAnsi" w:cstheme="minorHAnsi"/>
          <w:b/>
          <w:szCs w:val="28"/>
        </w:rPr>
      </w:pPr>
      <w:bookmarkStart w:id="5" w:name="_Toc268335"/>
      <w:bookmarkStart w:id="6" w:name="_Toc271531"/>
      <w:bookmarkStart w:id="7" w:name="_Toc958479"/>
      <w:bookmarkStart w:id="8" w:name="_Toc3900618"/>
      <w:bookmarkStart w:id="9" w:name="_Toc6408875"/>
      <w:r w:rsidRPr="00C02C86">
        <w:rPr>
          <w:rFonts w:asciiTheme="minorHAnsi" w:hAnsiTheme="minorHAnsi" w:cstheme="minorHAnsi"/>
          <w:b/>
          <w:szCs w:val="28"/>
        </w:rPr>
        <w:t>for Social Service Workforce Mapping</w:t>
      </w:r>
      <w:bookmarkEnd w:id="5"/>
      <w:bookmarkEnd w:id="6"/>
      <w:bookmarkEnd w:id="7"/>
      <w:bookmarkEnd w:id="8"/>
      <w:bookmarkEnd w:id="9"/>
    </w:p>
    <w:p w14:paraId="2BA017EB" w14:textId="77777777" w:rsidR="007C1CF4" w:rsidRPr="00B56DB7" w:rsidRDefault="007C1CF4" w:rsidP="007C1CF4">
      <w:pPr>
        <w:spacing w:after="0" w:line="240" w:lineRule="auto"/>
        <w:jc w:val="both"/>
        <w:rPr>
          <w:rFonts w:cstheme="minorHAnsi"/>
          <w:b/>
          <w:color w:val="1F3864" w:themeColor="accent1" w:themeShade="80"/>
          <w:szCs w:val="20"/>
          <w:u w:val="single"/>
        </w:rPr>
      </w:pPr>
      <w:r w:rsidRPr="00B56DB7">
        <w:rPr>
          <w:rFonts w:cstheme="minorHAnsi"/>
          <w:b/>
          <w:color w:val="1F3864" w:themeColor="accent1" w:themeShade="80"/>
          <w:szCs w:val="20"/>
          <w:u w:val="single"/>
        </w:rPr>
        <w:t xml:space="preserve">Introduction </w:t>
      </w:r>
    </w:p>
    <w:p w14:paraId="37C2646B" w14:textId="77777777" w:rsidR="007C1CF4" w:rsidRPr="00B56DB7" w:rsidRDefault="007C1CF4" w:rsidP="007C1CF4">
      <w:pPr>
        <w:spacing w:after="0" w:line="240" w:lineRule="auto"/>
        <w:jc w:val="both"/>
        <w:rPr>
          <w:rFonts w:cstheme="minorHAnsi"/>
          <w:i/>
          <w:color w:val="1F3864" w:themeColor="accent1" w:themeShade="80"/>
          <w:szCs w:val="20"/>
        </w:rPr>
      </w:pPr>
      <w:r w:rsidRPr="00B56DB7">
        <w:rPr>
          <w:rFonts w:eastAsia="Calibri" w:cstheme="minorHAnsi"/>
          <w:bCs/>
          <w:color w:val="1F3864" w:themeColor="accent1" w:themeShade="80"/>
          <w:szCs w:val="20"/>
          <w:lang w:val="en-GB"/>
        </w:rPr>
        <w:t xml:space="preserve">To protect children from violence, abuse and exploitation, as well as support their access to justice and quality care, it is imperative to have an effective child protection system. One critical element of that system is a strong social service workforce with a clear mandate. The working definition of the social service workforce is: </w:t>
      </w:r>
      <w:r w:rsidRPr="00B56DB7">
        <w:rPr>
          <w:rFonts w:cstheme="minorHAnsi"/>
          <w:i/>
          <w:color w:val="1F3864" w:themeColor="accent1" w:themeShade="80"/>
          <w:szCs w:val="20"/>
        </w:rPr>
        <w:t xml:space="preserve">Paid and unpaid, governmental and nongovernmental professionals and paraprofessionals working to ensure the healthy development and well-being of children and families. The social service worker focuses on preventative, responsive and promotive programs that </w:t>
      </w:r>
      <w:proofErr w:type="spellStart"/>
      <w:r w:rsidRPr="00B56DB7">
        <w:rPr>
          <w:rFonts w:cstheme="minorHAnsi"/>
          <w:i/>
          <w:color w:val="1F3864" w:themeColor="accent1" w:themeShade="80"/>
          <w:szCs w:val="20"/>
        </w:rPr>
        <w:t>sup</w:t>
      </w:r>
      <w:r>
        <w:rPr>
          <w:rFonts w:cstheme="minorHAnsi"/>
          <w:i/>
          <w:color w:val="1F3864" w:themeColor="accent1" w:themeShade="80"/>
          <w:szCs w:val="20"/>
        </w:rPr>
        <w:t xml:space="preserve"> </w:t>
      </w:r>
      <w:r w:rsidRPr="00B56DB7">
        <w:rPr>
          <w:rFonts w:cstheme="minorHAnsi"/>
          <w:i/>
          <w:color w:val="1F3864" w:themeColor="accent1" w:themeShade="80"/>
          <w:szCs w:val="20"/>
        </w:rPr>
        <w:t>port</w:t>
      </w:r>
      <w:proofErr w:type="spellEnd"/>
      <w:r w:rsidRPr="00B56DB7">
        <w:rPr>
          <w:rFonts w:cstheme="minorHAnsi"/>
          <w:i/>
          <w:color w:val="1F3864" w:themeColor="accent1" w:themeShade="80"/>
          <w:szCs w:val="20"/>
        </w:rPr>
        <w:t xml:space="preserve"> families and children in our communities by alleviating poverty, reducing discrimination, facilitating access to needed services, promoting social justice, and preventing and responding to violence, abuse, exploitation, neglect and family separation</w:t>
      </w:r>
      <w:r>
        <w:rPr>
          <w:rFonts w:cstheme="minorHAnsi"/>
          <w:i/>
          <w:color w:val="1F3864" w:themeColor="accent1" w:themeShade="80"/>
          <w:szCs w:val="20"/>
        </w:rPr>
        <w:t>.</w:t>
      </w:r>
      <w:r w:rsidRPr="00B56DB7">
        <w:rPr>
          <w:rStyle w:val="FootnoteReference"/>
          <w:rFonts w:cstheme="minorHAnsi"/>
          <w:color w:val="1F3864" w:themeColor="accent1" w:themeShade="80"/>
          <w:szCs w:val="20"/>
        </w:rPr>
        <w:footnoteReference w:id="1"/>
      </w:r>
    </w:p>
    <w:p w14:paraId="379332BD" w14:textId="77777777" w:rsidR="007C1CF4" w:rsidRPr="00B56DB7" w:rsidRDefault="007C1CF4" w:rsidP="007C1CF4">
      <w:pPr>
        <w:spacing w:after="0" w:line="240" w:lineRule="auto"/>
        <w:ind w:left="720"/>
        <w:jc w:val="both"/>
        <w:rPr>
          <w:rFonts w:cstheme="minorHAnsi"/>
          <w:i/>
          <w:color w:val="1F3864" w:themeColor="accent1" w:themeShade="80"/>
          <w:szCs w:val="20"/>
        </w:rPr>
      </w:pPr>
    </w:p>
    <w:p w14:paraId="250E5CA5" w14:textId="77777777" w:rsidR="007C1CF4" w:rsidRPr="00B56DB7" w:rsidRDefault="007C1CF4" w:rsidP="007C1CF4">
      <w:pPr>
        <w:spacing w:after="0" w:line="240" w:lineRule="auto"/>
        <w:jc w:val="both"/>
        <w:rPr>
          <w:rFonts w:cstheme="minorHAnsi"/>
          <w:color w:val="1F3864" w:themeColor="accent1" w:themeShade="80"/>
          <w:szCs w:val="20"/>
        </w:rPr>
      </w:pPr>
      <w:r w:rsidRPr="00B56DB7">
        <w:rPr>
          <w:rFonts w:eastAsia="Calibri" w:cstheme="minorHAnsi"/>
          <w:bCs/>
          <w:color w:val="1F3864" w:themeColor="accent1" w:themeShade="80"/>
          <w:szCs w:val="20"/>
          <w:lang w:val="en-GB"/>
        </w:rPr>
        <w:t xml:space="preserve">However, </w:t>
      </w:r>
      <w:r>
        <w:rPr>
          <w:rFonts w:eastAsia="Calibri" w:cstheme="minorHAnsi"/>
          <w:bCs/>
          <w:color w:val="1F3864" w:themeColor="accent1" w:themeShade="80"/>
          <w:szCs w:val="20"/>
          <w:lang w:val="en-GB"/>
        </w:rPr>
        <w:t>limited</w:t>
      </w:r>
      <w:r w:rsidRPr="00B56DB7">
        <w:rPr>
          <w:rFonts w:eastAsia="Calibri" w:cstheme="minorHAnsi"/>
          <w:bCs/>
          <w:color w:val="1F3864" w:themeColor="accent1" w:themeShade="80"/>
          <w:szCs w:val="20"/>
          <w:lang w:val="en-GB"/>
        </w:rPr>
        <w:t xml:space="preserve"> data about the workforce and the systems that support the workforce make it challenging for </w:t>
      </w:r>
      <w:r>
        <w:rPr>
          <w:rFonts w:eastAsia="Calibri" w:cstheme="minorHAnsi"/>
          <w:bCs/>
          <w:color w:val="1F3864" w:themeColor="accent1" w:themeShade="80"/>
          <w:szCs w:val="20"/>
          <w:lang w:val="en-GB"/>
        </w:rPr>
        <w:t xml:space="preserve">all relevant </w:t>
      </w:r>
      <w:r w:rsidRPr="00B56DB7">
        <w:rPr>
          <w:rFonts w:eastAsia="Calibri" w:cstheme="minorHAnsi"/>
          <w:bCs/>
          <w:color w:val="1F3864" w:themeColor="accent1" w:themeShade="80"/>
          <w:szCs w:val="20"/>
          <w:lang w:val="en-GB"/>
        </w:rPr>
        <w:t>government</w:t>
      </w:r>
      <w:r>
        <w:rPr>
          <w:rFonts w:eastAsia="Calibri" w:cstheme="minorHAnsi"/>
          <w:bCs/>
          <w:color w:val="1F3864" w:themeColor="accent1" w:themeShade="80"/>
          <w:szCs w:val="20"/>
          <w:lang w:val="en-GB"/>
        </w:rPr>
        <w:t xml:space="preserve"> departments</w:t>
      </w:r>
      <w:r w:rsidRPr="00B56DB7">
        <w:rPr>
          <w:rFonts w:eastAsia="Calibri" w:cstheme="minorHAnsi"/>
          <w:bCs/>
          <w:color w:val="1F3864" w:themeColor="accent1" w:themeShade="80"/>
          <w:szCs w:val="20"/>
          <w:lang w:val="en-GB"/>
        </w:rPr>
        <w:t xml:space="preserve"> and partners to identify and implement evidence-based solutions to strengthen the workforce and improve services and support to vulnerable children and families. </w:t>
      </w:r>
      <w:r w:rsidRPr="00B56DB7">
        <w:rPr>
          <w:rFonts w:cstheme="minorHAnsi"/>
          <w:color w:val="1F3864" w:themeColor="accent1" w:themeShade="80"/>
          <w:szCs w:val="20"/>
        </w:rPr>
        <w:t xml:space="preserve">It is also well-established that </w:t>
      </w:r>
      <w:r>
        <w:rPr>
          <w:rFonts w:cstheme="minorHAnsi"/>
          <w:color w:val="1F3864" w:themeColor="accent1" w:themeShade="80"/>
          <w:szCs w:val="20"/>
        </w:rPr>
        <w:t xml:space="preserve">the complexity of </w:t>
      </w:r>
      <w:r w:rsidRPr="00B56DB7">
        <w:rPr>
          <w:rFonts w:cstheme="minorHAnsi"/>
          <w:color w:val="1F3864" w:themeColor="accent1" w:themeShade="80"/>
          <w:szCs w:val="20"/>
        </w:rPr>
        <w:t xml:space="preserve">social service workforce structures and employment dynamics </w:t>
      </w:r>
      <w:r>
        <w:rPr>
          <w:rFonts w:cstheme="minorHAnsi"/>
          <w:color w:val="1F3864" w:themeColor="accent1" w:themeShade="80"/>
          <w:szCs w:val="20"/>
        </w:rPr>
        <w:t>require a collaborative approach</w:t>
      </w:r>
      <w:r w:rsidRPr="00B56DB7">
        <w:rPr>
          <w:rFonts w:cstheme="minorHAnsi"/>
          <w:color w:val="1F3864" w:themeColor="accent1" w:themeShade="80"/>
          <w:szCs w:val="20"/>
        </w:rPr>
        <w:t>.</w:t>
      </w:r>
    </w:p>
    <w:p w14:paraId="3304F391" w14:textId="77777777" w:rsidR="007C1CF4" w:rsidRPr="00B56DB7" w:rsidRDefault="007C1CF4" w:rsidP="007C1CF4">
      <w:pPr>
        <w:spacing w:after="0" w:line="240" w:lineRule="auto"/>
        <w:jc w:val="both"/>
        <w:rPr>
          <w:rFonts w:cstheme="minorHAnsi"/>
          <w:color w:val="1F3864" w:themeColor="accent1" w:themeShade="80"/>
          <w:szCs w:val="20"/>
        </w:rPr>
      </w:pPr>
    </w:p>
    <w:p w14:paraId="6000E268" w14:textId="77777777" w:rsidR="007C1CF4" w:rsidRPr="00B56DB7" w:rsidRDefault="007C1CF4" w:rsidP="007C1CF4">
      <w:p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For these reasons, (NAME OF ORGANIZING ENTITY), decided to carry out a comprehensive mapping and assessment of the social service workforce in (NAME OF COUNTRY).  This study </w:t>
      </w:r>
      <w:r w:rsidRPr="00B56DB7">
        <w:rPr>
          <w:rFonts w:eastAsia="Calibri" w:cstheme="minorHAnsi"/>
          <w:bCs/>
          <w:color w:val="1F3864" w:themeColor="accent1" w:themeShade="80"/>
          <w:szCs w:val="20"/>
          <w:lang w:val="en-GB"/>
        </w:rPr>
        <w:t xml:space="preserve">will be implemented by (NAME OF </w:t>
      </w:r>
      <w:r>
        <w:rPr>
          <w:rFonts w:eastAsia="Calibri" w:cstheme="minorHAnsi"/>
          <w:bCs/>
          <w:color w:val="1F3864" w:themeColor="accent1" w:themeShade="80"/>
          <w:szCs w:val="20"/>
          <w:lang w:val="en-GB"/>
        </w:rPr>
        <w:t>IMPLEMENTING ORGANIZATION</w:t>
      </w:r>
      <w:r w:rsidRPr="00B56DB7">
        <w:rPr>
          <w:rFonts w:cstheme="minorHAnsi"/>
          <w:color w:val="1F3864" w:themeColor="accent1" w:themeShade="80"/>
          <w:szCs w:val="20"/>
          <w:lang w:val="en-GB"/>
        </w:rPr>
        <w:t xml:space="preserve">) who </w:t>
      </w:r>
      <w:r w:rsidRPr="00B56DB7">
        <w:rPr>
          <w:rFonts w:eastAsia="Calibri" w:cstheme="minorHAnsi"/>
          <w:bCs/>
          <w:color w:val="1F3864" w:themeColor="accent1" w:themeShade="80"/>
          <w:szCs w:val="20"/>
          <w:lang w:val="en-GB"/>
        </w:rPr>
        <w:t xml:space="preserve">will be responsible for developing </w:t>
      </w:r>
      <w:r>
        <w:rPr>
          <w:rFonts w:eastAsia="Calibri" w:cstheme="minorHAnsi"/>
          <w:bCs/>
          <w:color w:val="1F3864" w:themeColor="accent1" w:themeShade="80"/>
          <w:szCs w:val="20"/>
          <w:lang w:val="en-GB"/>
        </w:rPr>
        <w:t>a</w:t>
      </w:r>
      <w:r w:rsidRPr="00B56DB7">
        <w:rPr>
          <w:rFonts w:eastAsia="Calibri" w:cstheme="minorHAnsi"/>
          <w:bCs/>
          <w:color w:val="1F3864" w:themeColor="accent1" w:themeShade="80"/>
          <w:szCs w:val="20"/>
          <w:lang w:val="en-GB"/>
        </w:rPr>
        <w:t xml:space="preserve"> final report and recommendations. In (NAME OF COUNTRY) the process will be led by a National Leadership </w:t>
      </w:r>
      <w:r w:rsidRPr="00B56DB7">
        <w:rPr>
          <w:rFonts w:eastAsia="Calibri" w:cstheme="minorHAnsi"/>
          <w:color w:val="1F3864" w:themeColor="accent1" w:themeShade="80"/>
          <w:szCs w:val="20"/>
          <w:lang w:val="en-GB" w:eastAsia="en-GB"/>
        </w:rPr>
        <w:t>Group (NLG)</w:t>
      </w:r>
      <w:r w:rsidRPr="00B56DB7">
        <w:rPr>
          <w:rFonts w:cstheme="minorHAnsi"/>
          <w:color w:val="1F3864" w:themeColor="accent1" w:themeShade="80"/>
          <w:szCs w:val="20"/>
          <w:lang w:val="en-GB"/>
        </w:rPr>
        <w:t xml:space="preserve">, </w:t>
      </w:r>
      <w:r w:rsidRPr="00B56DB7">
        <w:rPr>
          <w:rFonts w:cstheme="minorHAnsi"/>
          <w:color w:val="1F3864" w:themeColor="accent1" w:themeShade="80"/>
          <w:szCs w:val="20"/>
        </w:rPr>
        <w:t xml:space="preserve">which will offer an important platform for bringing stakeholders together to participate in, guide and own the process. </w:t>
      </w:r>
    </w:p>
    <w:p w14:paraId="1CFA9CBB" w14:textId="77777777" w:rsidR="007C1CF4" w:rsidRPr="00B56DB7" w:rsidRDefault="007C1CF4" w:rsidP="007C1CF4">
      <w:pPr>
        <w:spacing w:after="0" w:line="240" w:lineRule="auto"/>
        <w:jc w:val="both"/>
        <w:rPr>
          <w:rFonts w:cstheme="minorHAnsi"/>
          <w:color w:val="1F3864" w:themeColor="accent1" w:themeShade="80"/>
          <w:szCs w:val="20"/>
        </w:rPr>
      </w:pPr>
    </w:p>
    <w:p w14:paraId="555B6974" w14:textId="77777777" w:rsidR="007C1CF4" w:rsidRPr="00B56DB7" w:rsidRDefault="007C1CF4" w:rsidP="007C1CF4">
      <w:pPr>
        <w:spacing w:after="0" w:line="240" w:lineRule="auto"/>
        <w:jc w:val="both"/>
        <w:rPr>
          <w:rFonts w:cstheme="minorHAnsi"/>
          <w:color w:val="1F3864" w:themeColor="accent1" w:themeShade="80"/>
          <w:szCs w:val="20"/>
        </w:rPr>
      </w:pPr>
      <w:r w:rsidRPr="00B56DB7">
        <w:rPr>
          <w:rFonts w:cstheme="minorHAnsi"/>
          <w:color w:val="1F3864" w:themeColor="accent1" w:themeShade="80"/>
          <w:szCs w:val="20"/>
          <w:lang w:val="en-GB" w:eastAsia="en-GB"/>
        </w:rPr>
        <w:t xml:space="preserve">The purpose of the mapping and assessment is to create and analyse baseline information and data on the status of the social service workforce in </w:t>
      </w:r>
      <w:r w:rsidRPr="00B56DB7">
        <w:rPr>
          <w:rFonts w:cstheme="minorHAnsi"/>
          <w:color w:val="1F3864" w:themeColor="accent1" w:themeShade="80"/>
          <w:szCs w:val="20"/>
        </w:rPr>
        <w:t>(NAME OF COUNTRY)</w:t>
      </w:r>
      <w:r w:rsidRPr="00B56DB7">
        <w:rPr>
          <w:rFonts w:cstheme="minorHAnsi"/>
          <w:color w:val="1F3864" w:themeColor="accent1" w:themeShade="80"/>
          <w:szCs w:val="20"/>
          <w:lang w:val="en-GB" w:eastAsia="en-GB"/>
        </w:rPr>
        <w:t xml:space="preserve"> in order to guide the development and implementation of country-level action plans to strengthen the social service workforce.  It </w:t>
      </w:r>
      <w:r w:rsidRPr="00B56DB7">
        <w:rPr>
          <w:rFonts w:cstheme="minorHAnsi"/>
          <w:color w:val="1F3864" w:themeColor="accent1" w:themeShade="80"/>
          <w:szCs w:val="20"/>
        </w:rPr>
        <w:t xml:space="preserve">is meant to reflect the work of national stakeholders to improve policies, programs, advocacy and knowledge generation on workforce strengthening.  </w:t>
      </w:r>
    </w:p>
    <w:p w14:paraId="2EE977D6" w14:textId="77777777" w:rsidR="007C1CF4" w:rsidRPr="00B56DB7" w:rsidRDefault="007C1CF4" w:rsidP="007C1CF4">
      <w:pPr>
        <w:spacing w:after="0" w:line="240" w:lineRule="auto"/>
        <w:jc w:val="both"/>
        <w:rPr>
          <w:rFonts w:cstheme="minorHAnsi"/>
          <w:b/>
          <w:color w:val="1F3864" w:themeColor="accent1" w:themeShade="80"/>
          <w:szCs w:val="20"/>
          <w:u w:val="single"/>
        </w:rPr>
      </w:pPr>
    </w:p>
    <w:p w14:paraId="4DA70769" w14:textId="77777777" w:rsidR="007C1CF4" w:rsidRPr="00B56DB7" w:rsidRDefault="007C1CF4" w:rsidP="007C1CF4">
      <w:pPr>
        <w:spacing w:after="0" w:line="240" w:lineRule="auto"/>
        <w:jc w:val="both"/>
        <w:rPr>
          <w:rFonts w:cstheme="minorHAnsi"/>
          <w:b/>
          <w:color w:val="1F3864" w:themeColor="accent1" w:themeShade="80"/>
          <w:szCs w:val="20"/>
          <w:u w:val="single"/>
        </w:rPr>
      </w:pPr>
      <w:r w:rsidRPr="00B56DB7">
        <w:rPr>
          <w:rFonts w:cstheme="minorHAnsi"/>
          <w:b/>
          <w:color w:val="1F3864" w:themeColor="accent1" w:themeShade="80"/>
          <w:szCs w:val="20"/>
          <w:u w:val="single"/>
        </w:rPr>
        <w:t xml:space="preserve">Purpose and </w:t>
      </w:r>
      <w:r>
        <w:rPr>
          <w:rFonts w:cstheme="minorHAnsi"/>
          <w:b/>
          <w:color w:val="1F3864" w:themeColor="accent1" w:themeShade="80"/>
          <w:szCs w:val="20"/>
          <w:u w:val="single"/>
        </w:rPr>
        <w:t>role</w:t>
      </w:r>
      <w:r w:rsidRPr="00B56DB7">
        <w:rPr>
          <w:rFonts w:cstheme="minorHAnsi"/>
          <w:b/>
          <w:color w:val="1F3864" w:themeColor="accent1" w:themeShade="80"/>
          <w:szCs w:val="20"/>
          <w:u w:val="single"/>
        </w:rPr>
        <w:t xml:space="preserve"> the National Leadership Group </w:t>
      </w:r>
    </w:p>
    <w:p w14:paraId="1BD4299A" w14:textId="77777777" w:rsidR="007C1CF4" w:rsidRPr="00B56DB7" w:rsidRDefault="007C1CF4" w:rsidP="007C1CF4">
      <w:p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The main goal of NLG is to guide, support and contribute to a national mapping and assessment of the social service workforce and ensure usage of the data gathered to develop priority workforce strengthening actions and a strong national workforce strengthening plan. </w:t>
      </w:r>
    </w:p>
    <w:p w14:paraId="354CC659" w14:textId="77777777" w:rsidR="007C1CF4" w:rsidRPr="00B56DB7" w:rsidRDefault="007C1CF4" w:rsidP="007C1CF4">
      <w:pPr>
        <w:spacing w:after="0" w:line="240" w:lineRule="auto"/>
        <w:jc w:val="both"/>
        <w:rPr>
          <w:rFonts w:cstheme="minorHAnsi"/>
          <w:color w:val="1F3864" w:themeColor="accent1" w:themeShade="80"/>
          <w:szCs w:val="20"/>
        </w:rPr>
      </w:pPr>
    </w:p>
    <w:p w14:paraId="5D621028" w14:textId="77777777" w:rsidR="007C1CF4" w:rsidRPr="00B56DB7" w:rsidRDefault="007C1CF4" w:rsidP="007C1CF4">
      <w:p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The </w:t>
      </w:r>
      <w:r>
        <w:rPr>
          <w:rFonts w:cstheme="minorHAnsi"/>
          <w:color w:val="1F3864" w:themeColor="accent1" w:themeShade="80"/>
          <w:szCs w:val="20"/>
        </w:rPr>
        <w:t>roles</w:t>
      </w:r>
      <w:r w:rsidRPr="00B56DB7">
        <w:rPr>
          <w:rFonts w:cstheme="minorHAnsi"/>
          <w:color w:val="1F3864" w:themeColor="accent1" w:themeShade="80"/>
          <w:szCs w:val="20"/>
        </w:rPr>
        <w:t xml:space="preserve"> of </w:t>
      </w:r>
      <w:r>
        <w:rPr>
          <w:rFonts w:cstheme="minorHAnsi"/>
          <w:color w:val="1F3864" w:themeColor="accent1" w:themeShade="80"/>
          <w:szCs w:val="20"/>
        </w:rPr>
        <w:t xml:space="preserve">the </w:t>
      </w:r>
      <w:r w:rsidRPr="00B56DB7">
        <w:rPr>
          <w:rFonts w:cstheme="minorHAnsi"/>
          <w:color w:val="1F3864" w:themeColor="accent1" w:themeShade="80"/>
          <w:szCs w:val="20"/>
        </w:rPr>
        <w:t xml:space="preserve">NLG are to:  </w:t>
      </w:r>
    </w:p>
    <w:p w14:paraId="1612C7D8"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Participate in meetings and roundtables and contribute to the discussions on a regular basis during the implementation of the mapping and assessment exercise</w:t>
      </w:r>
    </w:p>
    <w:p w14:paraId="69895FDD"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Agree on the parameters of the workforce mapping</w:t>
      </w:r>
      <w:r>
        <w:rPr>
          <w:rFonts w:cstheme="minorHAnsi"/>
          <w:color w:val="1F3864" w:themeColor="accent1" w:themeShade="80"/>
          <w:szCs w:val="20"/>
        </w:rPr>
        <w:t>, the definition of the social service workforce</w:t>
      </w:r>
      <w:r w:rsidRPr="008A5B62">
        <w:rPr>
          <w:rFonts w:cstheme="minorHAnsi"/>
          <w:color w:val="1F3864" w:themeColor="accent1" w:themeShade="80"/>
          <w:szCs w:val="20"/>
        </w:rPr>
        <w:t xml:space="preserve"> and the range of workers to be included </w:t>
      </w:r>
      <w:r>
        <w:rPr>
          <w:rFonts w:cstheme="minorHAnsi"/>
          <w:color w:val="1F3864" w:themeColor="accent1" w:themeShade="80"/>
          <w:szCs w:val="20"/>
        </w:rPr>
        <w:t>in the mapping</w:t>
      </w:r>
    </w:p>
    <w:p w14:paraId="562F9C8B"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 xml:space="preserve">Review </w:t>
      </w:r>
      <w:r>
        <w:rPr>
          <w:rFonts w:cstheme="minorHAnsi"/>
          <w:color w:val="1F3864" w:themeColor="accent1" w:themeShade="80"/>
          <w:szCs w:val="20"/>
        </w:rPr>
        <w:t xml:space="preserve">and validate </w:t>
      </w:r>
      <w:r w:rsidRPr="008A5B62">
        <w:rPr>
          <w:rFonts w:cstheme="minorHAnsi"/>
          <w:color w:val="1F3864" w:themeColor="accent1" w:themeShade="80"/>
          <w:szCs w:val="20"/>
        </w:rPr>
        <w:t>the assessment methodology and tools and discuss and agree with the implementing entity on the approach to ensure an effective date collection and assessment process</w:t>
      </w:r>
    </w:p>
    <w:p w14:paraId="7B95529D"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lastRenderedPageBreak/>
        <w:t>Ensure linkages to other efforts to map or strengthen child protection and social service systems</w:t>
      </w:r>
    </w:p>
    <w:p w14:paraId="2A8F543C" w14:textId="77777777" w:rsidR="007C1CF4" w:rsidRPr="008A5B62" w:rsidRDefault="007C1CF4" w:rsidP="007C1CF4">
      <w:pPr>
        <w:pStyle w:val="ListParagraph"/>
        <w:numPr>
          <w:ilvl w:val="0"/>
          <w:numId w:val="2"/>
        </w:numPr>
        <w:spacing w:after="0" w:line="240" w:lineRule="auto"/>
        <w:jc w:val="both"/>
        <w:rPr>
          <w:rFonts w:cstheme="minorHAnsi"/>
          <w:color w:val="1F3864" w:themeColor="accent1" w:themeShade="80"/>
          <w:szCs w:val="20"/>
        </w:rPr>
      </w:pPr>
      <w:r w:rsidRPr="008A5B62">
        <w:rPr>
          <w:rFonts w:cstheme="minorHAnsi"/>
          <w:color w:val="1F3864" w:themeColor="accent1" w:themeShade="80"/>
          <w:szCs w:val="20"/>
        </w:rPr>
        <w:t xml:space="preserve">Provide the implementing entity with information and reports reflecting </w:t>
      </w:r>
      <w:r w:rsidRPr="008A5B62">
        <w:rPr>
          <w:rFonts w:eastAsia="Calibri" w:cstheme="minorHAnsi"/>
          <w:bCs/>
          <w:color w:val="1F3864" w:themeColor="accent1" w:themeShade="80"/>
          <w:szCs w:val="20"/>
          <w:lang w:val="en-GB"/>
        </w:rPr>
        <w:t xml:space="preserve">the </w:t>
      </w:r>
      <w:r w:rsidRPr="008A5B62">
        <w:rPr>
          <w:rFonts w:cstheme="minorHAnsi"/>
          <w:color w:val="1F3864" w:themeColor="accent1" w:themeShade="80"/>
          <w:szCs w:val="20"/>
          <w:lang w:val="en-GB"/>
        </w:rPr>
        <w:t>status of the social service workforce in the country, as it is documented in</w:t>
      </w:r>
      <w:r>
        <w:rPr>
          <w:rFonts w:cstheme="minorHAnsi"/>
          <w:color w:val="1F3864" w:themeColor="accent1" w:themeShade="80"/>
          <w:szCs w:val="20"/>
          <w:lang w:val="en-GB"/>
        </w:rPr>
        <w:t xml:space="preserve"> </w:t>
      </w:r>
      <w:r w:rsidRPr="008A5B62">
        <w:rPr>
          <w:rFonts w:cstheme="minorHAnsi"/>
          <w:color w:val="1F3864" w:themeColor="accent1" w:themeShade="80"/>
          <w:szCs w:val="20"/>
          <w:lang w:val="en-GB"/>
        </w:rPr>
        <w:t>national legislation, strategies, policies, etc</w:t>
      </w:r>
    </w:p>
    <w:p w14:paraId="579F5DBC"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 xml:space="preserve">Support timely and constructive engagement of the relevant actors possessing required data </w:t>
      </w:r>
    </w:p>
    <w:p w14:paraId="17DBCA45" w14:textId="77777777" w:rsidR="007C1CF4"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 xml:space="preserve">Provide feedback on the initial data, </w:t>
      </w:r>
      <w:r>
        <w:rPr>
          <w:rFonts w:cstheme="minorHAnsi"/>
          <w:color w:val="1F3864" w:themeColor="accent1" w:themeShade="80"/>
          <w:szCs w:val="20"/>
        </w:rPr>
        <w:t>helping to identify gaps</w:t>
      </w:r>
      <w:r w:rsidRPr="008A5B62">
        <w:rPr>
          <w:rFonts w:cstheme="minorHAnsi"/>
          <w:color w:val="1F3864" w:themeColor="accent1" w:themeShade="80"/>
          <w:szCs w:val="20"/>
        </w:rPr>
        <w:t xml:space="preserve"> in order to ensure that the information gathered is an adequate representation of the country’s situation</w:t>
      </w:r>
    </w:p>
    <w:p w14:paraId="65EB6BCA"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Pr>
          <w:rFonts w:cstheme="minorHAnsi"/>
          <w:color w:val="1F3864" w:themeColor="accent1" w:themeShade="80"/>
          <w:szCs w:val="20"/>
        </w:rPr>
        <w:t>Provide initial recommendations for next steps based on preliminary data, to be included in report</w:t>
      </w:r>
    </w:p>
    <w:p w14:paraId="13932377"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 xml:space="preserve">Provide feedback on the draft and final report that presents the findings </w:t>
      </w:r>
    </w:p>
    <w:p w14:paraId="0EC4421B" w14:textId="77777777" w:rsidR="007C1CF4" w:rsidRPr="008A5B62"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 xml:space="preserve">Disseminate country and regional findings </w:t>
      </w:r>
    </w:p>
    <w:p w14:paraId="1A28D04A" w14:textId="77777777" w:rsidR="007C1CF4" w:rsidRDefault="007C1CF4" w:rsidP="007C1CF4">
      <w:pPr>
        <w:pStyle w:val="ListParagraph"/>
        <w:numPr>
          <w:ilvl w:val="0"/>
          <w:numId w:val="2"/>
        </w:numPr>
        <w:spacing w:after="0" w:line="240" w:lineRule="auto"/>
        <w:rPr>
          <w:rFonts w:cstheme="minorHAnsi"/>
          <w:color w:val="1F3864" w:themeColor="accent1" w:themeShade="80"/>
          <w:szCs w:val="20"/>
        </w:rPr>
      </w:pPr>
      <w:r w:rsidRPr="008A5B62">
        <w:rPr>
          <w:rFonts w:cstheme="minorHAnsi"/>
          <w:color w:val="1F3864" w:themeColor="accent1" w:themeShade="80"/>
          <w:szCs w:val="20"/>
        </w:rPr>
        <w:t xml:space="preserve">Support development of priority actions to strengthen </w:t>
      </w:r>
      <w:r>
        <w:rPr>
          <w:rFonts w:cstheme="minorHAnsi"/>
          <w:color w:val="1F3864" w:themeColor="accent1" w:themeShade="80"/>
          <w:szCs w:val="20"/>
        </w:rPr>
        <w:t xml:space="preserve">the </w:t>
      </w:r>
      <w:r w:rsidRPr="008A5B62">
        <w:rPr>
          <w:rFonts w:cstheme="minorHAnsi"/>
          <w:color w:val="1F3864" w:themeColor="accent1" w:themeShade="80"/>
          <w:szCs w:val="20"/>
        </w:rPr>
        <w:t xml:space="preserve">social service workforce, leading to a national social service workforce strengthening strategic </w:t>
      </w:r>
      <w:r>
        <w:rPr>
          <w:rFonts w:cstheme="minorHAnsi"/>
          <w:color w:val="1F3864" w:themeColor="accent1" w:themeShade="80"/>
          <w:szCs w:val="20"/>
        </w:rPr>
        <w:t xml:space="preserve">framework or action </w:t>
      </w:r>
      <w:r w:rsidRPr="008A5B62">
        <w:rPr>
          <w:rFonts w:cstheme="minorHAnsi"/>
          <w:color w:val="1F3864" w:themeColor="accent1" w:themeShade="80"/>
          <w:szCs w:val="20"/>
        </w:rPr>
        <w:t>plan</w:t>
      </w:r>
      <w:r w:rsidRPr="001765D1">
        <w:rPr>
          <w:rFonts w:cstheme="minorHAnsi"/>
          <w:color w:val="1F3864" w:themeColor="accent1" w:themeShade="80"/>
          <w:szCs w:val="20"/>
        </w:rPr>
        <w:t xml:space="preserve"> </w:t>
      </w:r>
    </w:p>
    <w:p w14:paraId="2ACB6F7D" w14:textId="77777777" w:rsidR="007C1CF4" w:rsidRDefault="007C1CF4" w:rsidP="007C1CF4">
      <w:pPr>
        <w:pStyle w:val="ListParagraph"/>
        <w:numPr>
          <w:ilvl w:val="0"/>
          <w:numId w:val="2"/>
        </w:numPr>
        <w:spacing w:after="0" w:line="240" w:lineRule="auto"/>
        <w:rPr>
          <w:rFonts w:cstheme="minorHAnsi"/>
          <w:color w:val="1F3864" w:themeColor="accent1" w:themeShade="80"/>
          <w:szCs w:val="20"/>
        </w:rPr>
      </w:pPr>
      <w:r>
        <w:rPr>
          <w:rFonts w:cstheme="minorHAnsi"/>
          <w:color w:val="1F3864" w:themeColor="accent1" w:themeShade="80"/>
          <w:szCs w:val="20"/>
        </w:rPr>
        <w:t>Provide reflections on the process, making suggestions for improvements for future processes</w:t>
      </w:r>
    </w:p>
    <w:p w14:paraId="5980E89F" w14:textId="77777777" w:rsidR="007C1CF4" w:rsidRPr="00826FE8" w:rsidRDefault="007C1CF4" w:rsidP="007C1CF4">
      <w:pPr>
        <w:pStyle w:val="ListParagraph"/>
        <w:spacing w:after="0" w:line="240" w:lineRule="auto"/>
        <w:jc w:val="both"/>
        <w:rPr>
          <w:rFonts w:cstheme="minorHAnsi"/>
          <w:color w:val="1F3864" w:themeColor="accent1" w:themeShade="80"/>
          <w:szCs w:val="20"/>
        </w:rPr>
      </w:pPr>
    </w:p>
    <w:p w14:paraId="41691047" w14:textId="77777777" w:rsidR="007C1CF4" w:rsidRPr="00B56DB7" w:rsidRDefault="007C1CF4" w:rsidP="007C1CF4">
      <w:pPr>
        <w:spacing w:after="0" w:line="240" w:lineRule="auto"/>
        <w:jc w:val="both"/>
        <w:rPr>
          <w:rFonts w:cstheme="minorHAnsi"/>
          <w:b/>
          <w:color w:val="1F3864" w:themeColor="accent1" w:themeShade="80"/>
          <w:szCs w:val="20"/>
          <w:u w:val="single"/>
        </w:rPr>
      </w:pPr>
      <w:r w:rsidRPr="00B56DB7">
        <w:rPr>
          <w:rFonts w:cstheme="minorHAnsi"/>
          <w:b/>
          <w:color w:val="1F3864" w:themeColor="accent1" w:themeShade="80"/>
          <w:szCs w:val="20"/>
          <w:u w:val="single"/>
        </w:rPr>
        <w:t xml:space="preserve">Members of the National Leadership Group </w:t>
      </w:r>
    </w:p>
    <w:p w14:paraId="76A23893" w14:textId="77777777" w:rsidR="007C1CF4" w:rsidRPr="00B56DB7" w:rsidRDefault="007C1CF4" w:rsidP="007C1CF4">
      <w:p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The NLG will be led by the (NAME OF ORGANIZING ENTITY) </w:t>
      </w:r>
      <w:r>
        <w:rPr>
          <w:rFonts w:cstheme="minorHAnsi"/>
          <w:color w:val="1F3864" w:themeColor="accent1" w:themeShade="80"/>
          <w:szCs w:val="20"/>
        </w:rPr>
        <w:t>and</w:t>
      </w:r>
      <w:r w:rsidRPr="00B56DB7">
        <w:rPr>
          <w:rFonts w:cstheme="minorHAnsi"/>
          <w:color w:val="1F3864" w:themeColor="accent1" w:themeShade="80"/>
          <w:szCs w:val="20"/>
        </w:rPr>
        <w:t xml:space="preserve"> will be composed of approximately </w:t>
      </w:r>
      <w:r>
        <w:rPr>
          <w:rFonts w:cstheme="minorHAnsi"/>
          <w:color w:val="1F3864" w:themeColor="accent1" w:themeShade="80"/>
          <w:szCs w:val="20"/>
        </w:rPr>
        <w:t>15-</w:t>
      </w:r>
      <w:r w:rsidRPr="00B56DB7">
        <w:rPr>
          <w:rFonts w:cstheme="minorHAnsi"/>
          <w:color w:val="1F3864" w:themeColor="accent1" w:themeShade="80"/>
          <w:szCs w:val="20"/>
        </w:rPr>
        <w:t xml:space="preserve">20 members, representing the key entities involved in planning, producing, managing, and supporting the country’s social service workforce, for example all relevant government institutions, civil society and non-profit organizations, religious organizations, universities, professional associations, social service workforce, </w:t>
      </w:r>
      <w:proofErr w:type="spellStart"/>
      <w:r w:rsidRPr="00B56DB7">
        <w:rPr>
          <w:rFonts w:cstheme="minorHAnsi"/>
          <w:color w:val="1F3864" w:themeColor="accent1" w:themeShade="80"/>
          <w:szCs w:val="20"/>
        </w:rPr>
        <w:t>bilaterals</w:t>
      </w:r>
      <w:proofErr w:type="spellEnd"/>
      <w:r w:rsidRPr="00B56DB7">
        <w:rPr>
          <w:rFonts w:cstheme="minorHAnsi"/>
          <w:color w:val="1F3864" w:themeColor="accent1" w:themeShade="80"/>
          <w:szCs w:val="20"/>
        </w:rPr>
        <w:t xml:space="preserve"> and multilaterals such as the UNICEF Country Office. The role of a</w:t>
      </w:r>
      <w:r>
        <w:rPr>
          <w:rFonts w:cstheme="minorHAnsi"/>
          <w:color w:val="1F3864" w:themeColor="accent1" w:themeShade="80"/>
          <w:szCs w:val="20"/>
        </w:rPr>
        <w:t xml:space="preserve">n </w:t>
      </w:r>
      <w:r w:rsidRPr="00B56DB7">
        <w:rPr>
          <w:rFonts w:cstheme="minorHAnsi"/>
          <w:color w:val="1F3864" w:themeColor="accent1" w:themeShade="80"/>
          <w:szCs w:val="20"/>
        </w:rPr>
        <w:t>NLG</w:t>
      </w:r>
      <w:r>
        <w:rPr>
          <w:rFonts w:cstheme="minorHAnsi"/>
          <w:color w:val="1F3864" w:themeColor="accent1" w:themeShade="80"/>
          <w:szCs w:val="20"/>
        </w:rPr>
        <w:t xml:space="preserve"> member</w:t>
      </w:r>
      <w:r w:rsidRPr="00B56DB7">
        <w:rPr>
          <w:rFonts w:cstheme="minorHAnsi"/>
          <w:color w:val="1F3864" w:themeColor="accent1" w:themeShade="80"/>
          <w:szCs w:val="20"/>
        </w:rPr>
        <w:t xml:space="preserve"> is performed on </w:t>
      </w:r>
      <w:r>
        <w:rPr>
          <w:rFonts w:cstheme="minorHAnsi"/>
          <w:color w:val="1F3864" w:themeColor="accent1" w:themeShade="80"/>
          <w:szCs w:val="20"/>
        </w:rPr>
        <w:t xml:space="preserve">a </w:t>
      </w:r>
      <w:r w:rsidRPr="00B56DB7">
        <w:rPr>
          <w:rFonts w:cstheme="minorHAnsi"/>
          <w:color w:val="1F3864" w:themeColor="accent1" w:themeShade="80"/>
          <w:szCs w:val="20"/>
        </w:rPr>
        <w:t xml:space="preserve">voluntary basis.  The role continues through the period of the study </w:t>
      </w:r>
      <w:proofErr w:type="gramStart"/>
      <w:r w:rsidRPr="00B56DB7">
        <w:rPr>
          <w:rFonts w:cstheme="minorHAnsi"/>
          <w:color w:val="1F3864" w:themeColor="accent1" w:themeShade="80"/>
          <w:szCs w:val="20"/>
        </w:rPr>
        <w:t>and also</w:t>
      </w:r>
      <w:proofErr w:type="gramEnd"/>
      <w:r w:rsidRPr="00B56DB7">
        <w:rPr>
          <w:rFonts w:cstheme="minorHAnsi"/>
          <w:color w:val="1F3864" w:themeColor="accent1" w:themeShade="80"/>
          <w:szCs w:val="20"/>
        </w:rPr>
        <w:t xml:space="preserve"> supports the development and implementation of the recommended actions.  </w:t>
      </w:r>
      <w:r>
        <w:rPr>
          <w:rFonts w:cstheme="minorHAnsi"/>
          <w:color w:val="1F3864" w:themeColor="accent1" w:themeShade="80"/>
          <w:szCs w:val="20"/>
        </w:rPr>
        <w:t>NLG members are expected to commit to the full term.</w:t>
      </w:r>
    </w:p>
    <w:p w14:paraId="486155DD" w14:textId="77777777" w:rsidR="007C1CF4" w:rsidRPr="00B56DB7" w:rsidRDefault="007C1CF4" w:rsidP="007C1CF4">
      <w:pPr>
        <w:spacing w:after="0" w:line="240" w:lineRule="auto"/>
        <w:jc w:val="both"/>
        <w:rPr>
          <w:rFonts w:cstheme="minorHAnsi"/>
          <w:b/>
          <w:color w:val="1F3864" w:themeColor="accent1" w:themeShade="80"/>
          <w:szCs w:val="20"/>
          <w:u w:val="single"/>
        </w:rPr>
      </w:pPr>
    </w:p>
    <w:p w14:paraId="5927DFDE" w14:textId="77777777" w:rsidR="007C1CF4" w:rsidRPr="00B56DB7" w:rsidRDefault="007C1CF4" w:rsidP="007C1CF4">
      <w:pPr>
        <w:spacing w:after="0" w:line="240" w:lineRule="auto"/>
        <w:jc w:val="both"/>
        <w:rPr>
          <w:rFonts w:cstheme="minorHAnsi"/>
          <w:b/>
          <w:color w:val="1F3864" w:themeColor="accent1" w:themeShade="80"/>
          <w:szCs w:val="20"/>
          <w:u w:val="single"/>
        </w:rPr>
      </w:pPr>
      <w:r w:rsidRPr="00B56DB7">
        <w:rPr>
          <w:rFonts w:cstheme="minorHAnsi"/>
          <w:b/>
          <w:color w:val="1F3864" w:themeColor="accent1" w:themeShade="80"/>
          <w:szCs w:val="20"/>
          <w:u w:val="single"/>
        </w:rPr>
        <w:t xml:space="preserve">Periodicity of meetings of the Country-level Task Group </w:t>
      </w:r>
    </w:p>
    <w:p w14:paraId="69C426A8" w14:textId="77777777" w:rsidR="007C1CF4" w:rsidRPr="00B56DB7" w:rsidRDefault="007C1CF4" w:rsidP="007C1CF4">
      <w:p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(NAME OF ORGANIZING ENTITY) will convene NLG meetings on</w:t>
      </w:r>
      <w:r>
        <w:rPr>
          <w:rFonts w:cstheme="minorHAnsi"/>
          <w:color w:val="1F3864" w:themeColor="accent1" w:themeShade="80"/>
          <w:szCs w:val="20"/>
        </w:rPr>
        <w:t xml:space="preserve"> a</w:t>
      </w:r>
      <w:r w:rsidRPr="00B56DB7">
        <w:rPr>
          <w:rFonts w:cstheme="minorHAnsi"/>
          <w:color w:val="1F3864" w:themeColor="accent1" w:themeShade="80"/>
          <w:szCs w:val="20"/>
        </w:rPr>
        <w:t xml:space="preserve"> regular basis during implementation of the mapping and assessment. This will entail: </w:t>
      </w:r>
    </w:p>
    <w:p w14:paraId="250BE129" w14:textId="77777777" w:rsidR="007C1CF4" w:rsidRPr="00B56DB7" w:rsidRDefault="007C1CF4" w:rsidP="007C1CF4">
      <w:pPr>
        <w:pStyle w:val="ListParagraph"/>
        <w:numPr>
          <w:ilvl w:val="0"/>
          <w:numId w:val="2"/>
        </w:num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1-2 meetings to discuss the purpose of the assessment, clarify definitions, share assessment methodology and tools, review role of the NLG members, create mapping timeline </w:t>
      </w:r>
    </w:p>
    <w:p w14:paraId="53C9AB79" w14:textId="77777777" w:rsidR="007C1CF4" w:rsidRPr="00B56DB7" w:rsidRDefault="007C1CF4" w:rsidP="007C1CF4">
      <w:pPr>
        <w:pStyle w:val="ListParagraph"/>
        <w:numPr>
          <w:ilvl w:val="0"/>
          <w:numId w:val="2"/>
        </w:num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1 meeting to provide update on the progress on data collection </w:t>
      </w:r>
    </w:p>
    <w:p w14:paraId="7AC42907" w14:textId="77777777" w:rsidR="007C1CF4" w:rsidRPr="00B56DB7" w:rsidRDefault="007C1CF4" w:rsidP="007C1CF4">
      <w:pPr>
        <w:pStyle w:val="ListParagraph"/>
        <w:numPr>
          <w:ilvl w:val="0"/>
          <w:numId w:val="2"/>
        </w:num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1 one-day workshop to validate data collected and discuss initial recommendations </w:t>
      </w:r>
    </w:p>
    <w:p w14:paraId="5266FD35" w14:textId="77777777" w:rsidR="007C1CF4" w:rsidRPr="00B56DB7" w:rsidRDefault="007C1CF4" w:rsidP="007C1CF4">
      <w:pPr>
        <w:pStyle w:val="ListParagraph"/>
        <w:numPr>
          <w:ilvl w:val="0"/>
          <w:numId w:val="2"/>
        </w:num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 xml:space="preserve">1-2 </w:t>
      </w:r>
      <w:r>
        <w:rPr>
          <w:rFonts w:cstheme="minorHAnsi"/>
          <w:color w:val="1F3864" w:themeColor="accent1" w:themeShade="80"/>
          <w:szCs w:val="20"/>
        </w:rPr>
        <w:t>check ins or meetings</w:t>
      </w:r>
      <w:r w:rsidRPr="00B56DB7">
        <w:rPr>
          <w:rFonts w:cstheme="minorHAnsi"/>
          <w:color w:val="1F3864" w:themeColor="accent1" w:themeShade="80"/>
          <w:szCs w:val="20"/>
        </w:rPr>
        <w:t xml:space="preserve"> during the period of data analysis and report writing </w:t>
      </w:r>
    </w:p>
    <w:p w14:paraId="540CCA45" w14:textId="77777777" w:rsidR="007C1CF4" w:rsidRPr="00B56DB7" w:rsidRDefault="007C1CF4" w:rsidP="007C1CF4">
      <w:pPr>
        <w:pStyle w:val="ListParagraph"/>
        <w:numPr>
          <w:ilvl w:val="0"/>
          <w:numId w:val="2"/>
        </w:numPr>
        <w:spacing w:after="0" w:line="240" w:lineRule="auto"/>
        <w:jc w:val="both"/>
        <w:rPr>
          <w:rFonts w:cstheme="minorHAnsi"/>
          <w:color w:val="1F3864" w:themeColor="accent1" w:themeShade="80"/>
          <w:szCs w:val="20"/>
        </w:rPr>
      </w:pPr>
      <w:r w:rsidRPr="00B56DB7">
        <w:rPr>
          <w:rFonts w:cstheme="minorHAnsi"/>
          <w:color w:val="1F3864" w:themeColor="accent1" w:themeShade="80"/>
          <w:szCs w:val="20"/>
        </w:rPr>
        <w:t>1 half day validation workshop of the final report and to gather recommendations for next steps</w:t>
      </w:r>
    </w:p>
    <w:p w14:paraId="09B8A81D" w14:textId="77777777" w:rsidR="007C1CF4" w:rsidRPr="00B56DB7" w:rsidRDefault="007C1CF4" w:rsidP="007C1CF4">
      <w:pPr>
        <w:pStyle w:val="ListParagraph"/>
        <w:numPr>
          <w:ilvl w:val="0"/>
          <w:numId w:val="2"/>
        </w:numPr>
        <w:spacing w:after="0" w:line="240" w:lineRule="auto"/>
        <w:jc w:val="both"/>
        <w:rPr>
          <w:rFonts w:cstheme="minorHAnsi"/>
          <w:color w:val="1F3864" w:themeColor="accent1" w:themeShade="80"/>
          <w:szCs w:val="20"/>
        </w:rPr>
      </w:pPr>
      <w:r>
        <w:rPr>
          <w:rFonts w:cstheme="minorHAnsi"/>
          <w:color w:val="1F3864" w:themeColor="accent1" w:themeShade="80"/>
          <w:szCs w:val="20"/>
        </w:rPr>
        <w:t xml:space="preserve">After completion of the final report, </w:t>
      </w:r>
      <w:r w:rsidRPr="00B56DB7">
        <w:rPr>
          <w:rFonts w:cstheme="minorHAnsi"/>
          <w:color w:val="1F3864" w:themeColor="accent1" w:themeShade="80"/>
          <w:szCs w:val="20"/>
        </w:rPr>
        <w:t xml:space="preserve">1-3 meetings to discuss </w:t>
      </w:r>
      <w:r>
        <w:rPr>
          <w:rFonts w:cstheme="minorHAnsi"/>
          <w:color w:val="1F3864" w:themeColor="accent1" w:themeShade="80"/>
          <w:szCs w:val="20"/>
        </w:rPr>
        <w:t>the implementation of the action plan and format for the group moving forward</w:t>
      </w:r>
    </w:p>
    <w:p w14:paraId="0C161B5B" w14:textId="77777777" w:rsidR="007C1CF4" w:rsidRDefault="007C1CF4" w:rsidP="007C1CF4">
      <w:pPr>
        <w:spacing w:after="0" w:line="240" w:lineRule="auto"/>
        <w:jc w:val="both"/>
        <w:rPr>
          <w:rFonts w:cstheme="minorHAnsi"/>
          <w:b/>
          <w:color w:val="1F3864" w:themeColor="accent1" w:themeShade="80"/>
          <w:szCs w:val="20"/>
          <w:u w:val="single"/>
        </w:rPr>
      </w:pPr>
    </w:p>
    <w:p w14:paraId="47243C16" w14:textId="77777777" w:rsidR="007C1CF4" w:rsidRPr="00B56DB7" w:rsidRDefault="007C1CF4" w:rsidP="007C1CF4">
      <w:pPr>
        <w:spacing w:after="0" w:line="240" w:lineRule="auto"/>
        <w:jc w:val="both"/>
        <w:rPr>
          <w:rFonts w:cstheme="minorHAnsi"/>
          <w:b/>
          <w:color w:val="1F3864" w:themeColor="accent1" w:themeShade="80"/>
          <w:szCs w:val="20"/>
          <w:u w:val="single"/>
        </w:rPr>
      </w:pPr>
      <w:r w:rsidRPr="00B56DB7">
        <w:rPr>
          <w:rFonts w:cstheme="minorHAnsi"/>
          <w:b/>
          <w:color w:val="1F3864" w:themeColor="accent1" w:themeShade="80"/>
          <w:szCs w:val="20"/>
          <w:u w:val="single"/>
        </w:rPr>
        <w:t>Factors that Support Effectiveness of NLG Work</w:t>
      </w:r>
    </w:p>
    <w:p w14:paraId="54220383" w14:textId="77777777" w:rsidR="007C1CF4" w:rsidRPr="00B56DB7" w:rsidRDefault="007C1CF4" w:rsidP="007C1CF4">
      <w:pPr>
        <w:pStyle w:val="Heading3"/>
        <w:keepNext w:val="0"/>
        <w:keepLines w:val="0"/>
        <w:numPr>
          <w:ilvl w:val="0"/>
          <w:numId w:val="3"/>
        </w:numPr>
        <w:tabs>
          <w:tab w:val="left" w:pos="0"/>
          <w:tab w:val="left" w:pos="851"/>
        </w:tabs>
        <w:spacing w:before="0" w:line="240" w:lineRule="auto"/>
        <w:rPr>
          <w:rFonts w:asciiTheme="minorHAnsi" w:eastAsiaTheme="minorEastAsia" w:hAnsiTheme="minorHAnsi" w:cstheme="minorHAnsi"/>
          <w:b/>
          <w:bCs/>
          <w:color w:val="1F3864" w:themeColor="accent1" w:themeShade="80"/>
          <w:sz w:val="22"/>
          <w:szCs w:val="20"/>
        </w:rPr>
      </w:pPr>
      <w:bookmarkStart w:id="10" w:name="_Toc536029525"/>
      <w:bookmarkStart w:id="11" w:name="_Toc536539928"/>
      <w:bookmarkStart w:id="12" w:name="_Toc192254"/>
      <w:bookmarkStart w:id="13" w:name="_Toc268336"/>
      <w:bookmarkStart w:id="14" w:name="_Toc271532"/>
      <w:bookmarkStart w:id="15" w:name="_Toc958480"/>
      <w:bookmarkStart w:id="16" w:name="_Toc3900619"/>
      <w:bookmarkStart w:id="17" w:name="_Toc6408876"/>
      <w:r w:rsidRPr="00B56DB7">
        <w:rPr>
          <w:rFonts w:asciiTheme="minorHAnsi" w:eastAsiaTheme="minorEastAsia" w:hAnsiTheme="minorHAnsi" w:cstheme="minorHAnsi"/>
          <w:color w:val="1F3864" w:themeColor="accent1" w:themeShade="80"/>
          <w:sz w:val="22"/>
          <w:szCs w:val="20"/>
        </w:rPr>
        <w:t>Members commit to serving on the NLG for the duration of the assessment in order to avoid, as much as possible, changes to the group composition</w:t>
      </w:r>
      <w:bookmarkEnd w:id="10"/>
      <w:bookmarkEnd w:id="11"/>
      <w:bookmarkEnd w:id="12"/>
      <w:bookmarkEnd w:id="13"/>
      <w:bookmarkEnd w:id="14"/>
      <w:bookmarkEnd w:id="15"/>
      <w:r>
        <w:rPr>
          <w:rFonts w:asciiTheme="minorHAnsi" w:eastAsiaTheme="minorEastAsia" w:hAnsiTheme="minorHAnsi" w:cstheme="minorHAnsi"/>
          <w:color w:val="1F3864" w:themeColor="accent1" w:themeShade="80"/>
          <w:sz w:val="22"/>
          <w:szCs w:val="20"/>
        </w:rPr>
        <w:t>.  Ideally, members commit to continuing to meet past the mapping and assessment phase to work together on implementation of the recommendation actions.</w:t>
      </w:r>
      <w:bookmarkEnd w:id="16"/>
      <w:bookmarkEnd w:id="17"/>
      <w:r w:rsidRPr="00B56DB7">
        <w:rPr>
          <w:rFonts w:asciiTheme="minorHAnsi" w:eastAsiaTheme="minorEastAsia" w:hAnsiTheme="minorHAnsi" w:cstheme="minorHAnsi"/>
          <w:color w:val="1F3864" w:themeColor="accent1" w:themeShade="80"/>
          <w:sz w:val="22"/>
          <w:szCs w:val="20"/>
        </w:rPr>
        <w:t xml:space="preserve"> </w:t>
      </w:r>
    </w:p>
    <w:p w14:paraId="37EDAB88" w14:textId="77777777" w:rsidR="007C1CF4" w:rsidRPr="00B56DB7" w:rsidRDefault="007C1CF4" w:rsidP="007C1CF4">
      <w:pPr>
        <w:pStyle w:val="Heading3"/>
        <w:keepNext w:val="0"/>
        <w:keepLines w:val="0"/>
        <w:numPr>
          <w:ilvl w:val="0"/>
          <w:numId w:val="3"/>
        </w:numPr>
        <w:tabs>
          <w:tab w:val="left" w:pos="0"/>
          <w:tab w:val="left" w:pos="851"/>
        </w:tabs>
        <w:spacing w:before="0" w:line="240" w:lineRule="auto"/>
        <w:rPr>
          <w:rFonts w:asciiTheme="minorHAnsi" w:eastAsiaTheme="minorEastAsia" w:hAnsiTheme="minorHAnsi" w:cstheme="minorHAnsi"/>
          <w:b/>
          <w:bCs/>
          <w:color w:val="1F3864" w:themeColor="accent1" w:themeShade="80"/>
          <w:sz w:val="22"/>
          <w:szCs w:val="20"/>
        </w:rPr>
      </w:pPr>
      <w:bookmarkStart w:id="18" w:name="_Toc536029526"/>
      <w:bookmarkStart w:id="19" w:name="_Toc536539929"/>
      <w:bookmarkStart w:id="20" w:name="_Toc192255"/>
      <w:bookmarkStart w:id="21" w:name="_Toc268337"/>
      <w:bookmarkStart w:id="22" w:name="_Toc271533"/>
      <w:bookmarkStart w:id="23" w:name="_Toc958481"/>
      <w:bookmarkStart w:id="24" w:name="_Toc3900620"/>
      <w:bookmarkStart w:id="25" w:name="_Toc6408877"/>
      <w:r w:rsidRPr="00B56DB7">
        <w:rPr>
          <w:rFonts w:asciiTheme="minorHAnsi" w:eastAsiaTheme="minorEastAsia" w:hAnsiTheme="minorHAnsi" w:cstheme="minorHAnsi"/>
          <w:color w:val="1F3864" w:themeColor="accent1" w:themeShade="80"/>
          <w:sz w:val="22"/>
          <w:szCs w:val="20"/>
        </w:rPr>
        <w:t>The group develops and commits to clear timeline completion dates, holding an adequate number of meetings during that time</w:t>
      </w:r>
      <w:bookmarkEnd w:id="18"/>
      <w:bookmarkEnd w:id="19"/>
      <w:bookmarkEnd w:id="20"/>
      <w:bookmarkEnd w:id="21"/>
      <w:bookmarkEnd w:id="22"/>
      <w:bookmarkEnd w:id="23"/>
      <w:bookmarkEnd w:id="24"/>
      <w:bookmarkEnd w:id="25"/>
    </w:p>
    <w:p w14:paraId="33DA4C4F" w14:textId="77777777" w:rsidR="007C1CF4" w:rsidRPr="00B56DB7" w:rsidRDefault="007C1CF4" w:rsidP="007C1CF4">
      <w:pPr>
        <w:pStyle w:val="Heading3"/>
        <w:keepNext w:val="0"/>
        <w:keepLines w:val="0"/>
        <w:numPr>
          <w:ilvl w:val="0"/>
          <w:numId w:val="3"/>
        </w:numPr>
        <w:tabs>
          <w:tab w:val="left" w:pos="0"/>
          <w:tab w:val="left" w:pos="851"/>
        </w:tabs>
        <w:spacing w:before="0" w:line="240" w:lineRule="auto"/>
        <w:rPr>
          <w:rFonts w:asciiTheme="minorHAnsi" w:eastAsiaTheme="minorEastAsia" w:hAnsiTheme="minorHAnsi" w:cstheme="minorHAnsi"/>
          <w:b/>
          <w:bCs/>
          <w:color w:val="1F3864" w:themeColor="accent1" w:themeShade="80"/>
          <w:sz w:val="22"/>
          <w:szCs w:val="20"/>
        </w:rPr>
      </w:pPr>
      <w:bookmarkStart w:id="26" w:name="_Toc536029527"/>
      <w:bookmarkStart w:id="27" w:name="_Toc536539930"/>
      <w:bookmarkStart w:id="28" w:name="_Toc192256"/>
      <w:bookmarkStart w:id="29" w:name="_Toc268338"/>
      <w:bookmarkStart w:id="30" w:name="_Toc271534"/>
      <w:bookmarkStart w:id="31" w:name="_Toc958482"/>
      <w:bookmarkStart w:id="32" w:name="_Toc3900621"/>
      <w:bookmarkStart w:id="33" w:name="_Toc6408878"/>
      <w:r w:rsidRPr="00B56DB7">
        <w:rPr>
          <w:rFonts w:asciiTheme="minorHAnsi" w:eastAsiaTheme="minorEastAsia" w:hAnsiTheme="minorHAnsi" w:cstheme="minorHAnsi"/>
          <w:color w:val="1F3864" w:themeColor="accent1" w:themeShade="80"/>
          <w:sz w:val="22"/>
          <w:szCs w:val="20"/>
        </w:rPr>
        <w:t xml:space="preserve">Each meeting is chaired by </w:t>
      </w:r>
      <w:r w:rsidRPr="00B56DB7">
        <w:rPr>
          <w:rFonts w:asciiTheme="minorHAnsi" w:hAnsiTheme="minorHAnsi" w:cstheme="minorHAnsi"/>
          <w:color w:val="1F3864" w:themeColor="accent1" w:themeShade="80"/>
          <w:sz w:val="22"/>
          <w:szCs w:val="20"/>
        </w:rPr>
        <w:t>(NAME OF ORGANIZING ENTITY)</w:t>
      </w:r>
      <w:bookmarkEnd w:id="26"/>
      <w:bookmarkEnd w:id="27"/>
      <w:bookmarkEnd w:id="28"/>
      <w:bookmarkEnd w:id="29"/>
      <w:bookmarkEnd w:id="30"/>
      <w:bookmarkEnd w:id="31"/>
      <w:bookmarkEnd w:id="32"/>
      <w:bookmarkEnd w:id="33"/>
      <w:r w:rsidRPr="00B56DB7">
        <w:rPr>
          <w:rFonts w:asciiTheme="minorHAnsi" w:hAnsiTheme="minorHAnsi" w:cstheme="minorHAnsi"/>
          <w:color w:val="1F3864" w:themeColor="accent1" w:themeShade="80"/>
          <w:sz w:val="22"/>
          <w:szCs w:val="20"/>
        </w:rPr>
        <w:t xml:space="preserve"> </w:t>
      </w:r>
      <w:r w:rsidRPr="00B56DB7">
        <w:rPr>
          <w:rFonts w:asciiTheme="minorHAnsi" w:eastAsiaTheme="minorEastAsia" w:hAnsiTheme="minorHAnsi" w:cstheme="minorHAnsi"/>
          <w:color w:val="1F3864" w:themeColor="accent1" w:themeShade="80"/>
          <w:sz w:val="22"/>
          <w:szCs w:val="20"/>
        </w:rPr>
        <w:t xml:space="preserve"> </w:t>
      </w:r>
    </w:p>
    <w:p w14:paraId="58AE4C9D" w14:textId="77777777" w:rsidR="007C1CF4" w:rsidRPr="00B56DB7" w:rsidRDefault="007C1CF4" w:rsidP="007C1CF4">
      <w:pPr>
        <w:pStyle w:val="Heading3"/>
        <w:keepNext w:val="0"/>
        <w:keepLines w:val="0"/>
        <w:numPr>
          <w:ilvl w:val="0"/>
          <w:numId w:val="3"/>
        </w:numPr>
        <w:tabs>
          <w:tab w:val="left" w:pos="0"/>
          <w:tab w:val="left" w:pos="851"/>
        </w:tabs>
        <w:spacing w:before="0" w:line="240" w:lineRule="auto"/>
        <w:rPr>
          <w:rFonts w:asciiTheme="minorHAnsi" w:hAnsiTheme="minorHAnsi" w:cstheme="minorHAnsi"/>
          <w:color w:val="1F3864" w:themeColor="accent1" w:themeShade="80"/>
          <w:sz w:val="22"/>
          <w:szCs w:val="20"/>
        </w:rPr>
      </w:pPr>
      <w:bookmarkStart w:id="34" w:name="_Toc536029528"/>
      <w:bookmarkStart w:id="35" w:name="_Toc536539931"/>
      <w:bookmarkStart w:id="36" w:name="_Toc192257"/>
      <w:bookmarkStart w:id="37" w:name="_Toc268339"/>
      <w:bookmarkStart w:id="38" w:name="_Toc271535"/>
      <w:bookmarkStart w:id="39" w:name="_Toc958483"/>
      <w:bookmarkStart w:id="40" w:name="_Toc3900622"/>
      <w:bookmarkStart w:id="41" w:name="_Toc6408879"/>
      <w:r w:rsidRPr="00B56DB7">
        <w:rPr>
          <w:rFonts w:asciiTheme="minorHAnsi" w:eastAsiaTheme="minorEastAsia" w:hAnsiTheme="minorHAnsi" w:cstheme="minorHAnsi"/>
          <w:color w:val="1F3864" w:themeColor="accent1" w:themeShade="80"/>
          <w:sz w:val="22"/>
          <w:szCs w:val="20"/>
        </w:rPr>
        <w:t xml:space="preserve">Meeting agenda and notes are developed by the </w:t>
      </w:r>
      <w:r>
        <w:rPr>
          <w:rFonts w:asciiTheme="minorHAnsi" w:eastAsiaTheme="minorEastAsia" w:hAnsiTheme="minorHAnsi" w:cstheme="minorHAnsi"/>
          <w:color w:val="1F3864" w:themeColor="accent1" w:themeShade="80"/>
          <w:sz w:val="22"/>
          <w:szCs w:val="20"/>
        </w:rPr>
        <w:t>implementing entity</w:t>
      </w:r>
      <w:r w:rsidRPr="00B56DB7">
        <w:rPr>
          <w:rFonts w:asciiTheme="minorHAnsi" w:eastAsiaTheme="minorEastAsia" w:hAnsiTheme="minorHAnsi" w:cstheme="minorHAnsi"/>
          <w:color w:val="1F3864" w:themeColor="accent1" w:themeShade="80"/>
          <w:sz w:val="22"/>
          <w:szCs w:val="20"/>
        </w:rPr>
        <w:t xml:space="preserve"> and shared with those who may have missed the meeting</w:t>
      </w:r>
      <w:bookmarkEnd w:id="34"/>
      <w:bookmarkEnd w:id="35"/>
      <w:bookmarkEnd w:id="36"/>
      <w:bookmarkEnd w:id="37"/>
      <w:bookmarkEnd w:id="38"/>
      <w:bookmarkEnd w:id="39"/>
      <w:bookmarkEnd w:id="40"/>
      <w:bookmarkEnd w:id="41"/>
      <w:r w:rsidRPr="00B56DB7">
        <w:rPr>
          <w:rFonts w:asciiTheme="minorHAnsi" w:eastAsiaTheme="minorEastAsia" w:hAnsiTheme="minorHAnsi" w:cstheme="minorHAnsi"/>
          <w:color w:val="1F3864" w:themeColor="accent1" w:themeShade="80"/>
          <w:sz w:val="22"/>
          <w:szCs w:val="20"/>
        </w:rPr>
        <w:t xml:space="preserve">  </w:t>
      </w:r>
    </w:p>
    <w:p w14:paraId="31BDFBAD" w14:textId="77777777" w:rsidR="007C1CF4" w:rsidRDefault="007C1CF4" w:rsidP="007C1CF4"/>
    <w:p w14:paraId="606CF11D" w14:textId="77777777" w:rsidR="007C1CF4" w:rsidRDefault="007C1CF4" w:rsidP="007C1CF4"/>
    <w:p w14:paraId="783166B6" w14:textId="77777777" w:rsidR="00660799" w:rsidRPr="007C1CF4" w:rsidRDefault="00660799" w:rsidP="007C1CF4"/>
    <w:sectPr w:rsidR="00660799" w:rsidRPr="007C1CF4"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8A18" w14:textId="77777777" w:rsidR="00B26DEA" w:rsidRDefault="00B26DEA" w:rsidP="007C1CF4">
      <w:pPr>
        <w:spacing w:after="0" w:line="240" w:lineRule="auto"/>
      </w:pPr>
      <w:r>
        <w:separator/>
      </w:r>
    </w:p>
  </w:endnote>
  <w:endnote w:type="continuationSeparator" w:id="0">
    <w:p w14:paraId="52CC813D" w14:textId="77777777" w:rsidR="00B26DEA" w:rsidRDefault="00B26DEA"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72021" w14:textId="77777777" w:rsidR="00B26DEA" w:rsidRDefault="00B26DEA" w:rsidP="007C1CF4">
      <w:pPr>
        <w:spacing w:after="0" w:line="240" w:lineRule="auto"/>
      </w:pPr>
      <w:r>
        <w:separator/>
      </w:r>
    </w:p>
  </w:footnote>
  <w:footnote w:type="continuationSeparator" w:id="0">
    <w:p w14:paraId="7CA28F70" w14:textId="77777777" w:rsidR="00B26DEA" w:rsidRDefault="00B26DEA" w:rsidP="007C1CF4">
      <w:pPr>
        <w:spacing w:after="0" w:line="240" w:lineRule="auto"/>
      </w:pPr>
      <w:r>
        <w:continuationSeparator/>
      </w:r>
    </w:p>
  </w:footnote>
  <w:footnote w:id="1">
    <w:p w14:paraId="4F206BAB" w14:textId="77777777" w:rsidR="007C1CF4" w:rsidRPr="00C7161A" w:rsidRDefault="007C1CF4" w:rsidP="007C1CF4">
      <w:pPr>
        <w:spacing w:after="0" w:line="240" w:lineRule="auto"/>
        <w:rPr>
          <w:rFonts w:cstheme="minorHAnsi"/>
          <w:i/>
          <w:sz w:val="18"/>
          <w:szCs w:val="18"/>
        </w:rPr>
      </w:pPr>
      <w:r w:rsidRPr="00C7161A">
        <w:rPr>
          <w:rStyle w:val="FootnoteReference"/>
          <w:sz w:val="18"/>
          <w:szCs w:val="18"/>
        </w:rPr>
        <w:footnoteRef/>
      </w:r>
      <w:r w:rsidRPr="00C7161A">
        <w:rPr>
          <w:sz w:val="18"/>
          <w:szCs w:val="18"/>
        </w:rPr>
        <w:t xml:space="preserve"> </w:t>
      </w:r>
      <w:r w:rsidRPr="00C7161A">
        <w:rPr>
          <w:rFonts w:cstheme="minorHAnsi"/>
          <w:i/>
          <w:color w:val="1F3864" w:themeColor="accent1" w:themeShade="80"/>
          <w:sz w:val="18"/>
          <w:szCs w:val="18"/>
        </w:rPr>
        <w:t>from www.socialserviceworkforce.org/social-service-workforce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660799"/>
    <w:rsid w:val="007C1CF4"/>
    <w:rsid w:val="00B2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F4"/>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2019-04-17T20:33:00Z</dcterms:created>
  <dcterms:modified xsi:type="dcterms:W3CDTF">2019-04-17T20:35:00Z</dcterms:modified>
</cp:coreProperties>
</file>